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215EF57B"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00C70BCF" w:rsidRPr="00C70BCF">
        <w:rPr>
          <w:b/>
          <w:i/>
          <w:color w:val="000000"/>
          <w:lang w:val="ro-RO"/>
        </w:rPr>
        <w:t xml:space="preserve">Responsabil </w:t>
      </w:r>
      <w:r w:rsidR="00230E35" w:rsidRPr="00230E35">
        <w:rPr>
          <w:b/>
          <w:i/>
          <w:color w:val="000000"/>
          <w:lang w:val="ro-RO"/>
        </w:rPr>
        <w:t xml:space="preserve">achiziții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413CD2" w14:paraId="690F3D19" w14:textId="77777777" w:rsidTr="00E86A1E">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1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5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230E35" w:rsidRPr="00413CD2" w14:paraId="7230C065" w14:textId="77777777" w:rsidTr="00E86A1E">
        <w:trPr>
          <w:jc w:val="center"/>
        </w:trPr>
        <w:tc>
          <w:tcPr>
            <w:tcW w:w="745" w:type="dxa"/>
          </w:tcPr>
          <w:p w14:paraId="08A7CED0" w14:textId="535B9B5E" w:rsidR="00230E35" w:rsidRPr="00413CD2" w:rsidRDefault="00230E35" w:rsidP="00230E35">
            <w:pPr>
              <w:jc w:val="center"/>
              <w:rPr>
                <w:rFonts w:eastAsia="Calibri"/>
                <w:lang w:val="ro-RO"/>
              </w:rPr>
            </w:pPr>
            <w:r>
              <w:rPr>
                <w:rFonts w:eastAsia="Calibri"/>
                <w:lang w:val="ro-RO"/>
              </w:rPr>
              <w:t>14.</w:t>
            </w:r>
          </w:p>
        </w:tc>
        <w:tc>
          <w:tcPr>
            <w:tcW w:w="2511" w:type="dxa"/>
            <w:shd w:val="clear" w:color="auto" w:fill="auto"/>
          </w:tcPr>
          <w:p w14:paraId="28B5B62A" w14:textId="2EA5CC81" w:rsidR="00230E35" w:rsidRPr="00413CD2" w:rsidRDefault="00230E35" w:rsidP="00230E35">
            <w:pPr>
              <w:jc w:val="center"/>
              <w:rPr>
                <w:rFonts w:eastAsia="Calibri"/>
                <w:lang w:val="ro-RO"/>
              </w:rPr>
            </w:pPr>
            <w:r>
              <w:rPr>
                <w:color w:val="000000"/>
                <w:lang w:val="ro-RO"/>
              </w:rPr>
              <w:t>Responsabil achiziții</w:t>
            </w:r>
          </w:p>
        </w:tc>
        <w:tc>
          <w:tcPr>
            <w:tcW w:w="3159" w:type="dxa"/>
            <w:shd w:val="clear" w:color="auto" w:fill="auto"/>
            <w:vAlign w:val="center"/>
          </w:tcPr>
          <w:p w14:paraId="5E1A305D" w14:textId="75790F76" w:rsidR="00230E35" w:rsidRPr="00413CD2" w:rsidRDefault="00230E35" w:rsidP="00230E35">
            <w:pPr>
              <w:jc w:val="center"/>
              <w:rPr>
                <w:bCs/>
                <w:color w:val="000000"/>
                <w:lang w:val="ro-RO" w:eastAsia="ro-RO"/>
              </w:rPr>
            </w:pPr>
            <w:r>
              <w:rPr>
                <w:rFonts w:eastAsia="Calibri"/>
                <w:lang w:val="ro-RO"/>
              </w:rPr>
              <w:t xml:space="preserve">6 luni, </w:t>
            </w:r>
            <w:r w:rsidRPr="00413CD2">
              <w:rPr>
                <w:rFonts w:eastAsia="Calibri"/>
                <w:lang w:val="ro-RO"/>
              </w:rPr>
              <w:t>maxim până la data de 16.12.2022</w:t>
            </w:r>
          </w:p>
        </w:tc>
        <w:tc>
          <w:tcPr>
            <w:tcW w:w="2835" w:type="dxa"/>
            <w:shd w:val="clear" w:color="auto" w:fill="auto"/>
            <w:vAlign w:val="center"/>
          </w:tcPr>
          <w:p w14:paraId="4DCAFB41" w14:textId="77777777" w:rsidR="00230E35" w:rsidRPr="00413CD2" w:rsidRDefault="00230E35" w:rsidP="00230E35">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7F15CF5E" w:rsidR="00230E35" w:rsidRPr="00413CD2" w:rsidRDefault="00230E35" w:rsidP="00230E35">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931B66">
        <w:rPr>
          <w:b/>
          <w:bCs/>
          <w:color w:val="000000"/>
          <w:u w:val="single"/>
          <w:lang w:val="ro-RO"/>
        </w:rPr>
        <w:t>A. Pentru participarea la concurs, candida</w:t>
      </w:r>
      <w:r w:rsidR="0035096F" w:rsidRPr="00931B66">
        <w:rPr>
          <w:b/>
          <w:bCs/>
          <w:color w:val="000000"/>
          <w:u w:val="single"/>
          <w:lang w:val="ro-RO"/>
        </w:rPr>
        <w:t>ț</w:t>
      </w:r>
      <w:r w:rsidRPr="00931B66">
        <w:rPr>
          <w:b/>
          <w:bCs/>
          <w:color w:val="000000"/>
          <w:u w:val="single"/>
          <w:lang w:val="ro-RO"/>
        </w:rPr>
        <w:t>ii trebuie să îndeplinească următoarele condi</w:t>
      </w:r>
      <w:r w:rsidR="0035096F" w:rsidRPr="00931B66">
        <w:rPr>
          <w:b/>
          <w:bCs/>
          <w:color w:val="000000"/>
          <w:u w:val="single"/>
          <w:lang w:val="ro-RO"/>
        </w:rPr>
        <w:t>ț</w:t>
      </w:r>
      <w:r w:rsidRPr="00931B66">
        <w:rPr>
          <w:b/>
          <w:bCs/>
          <w:color w:val="000000"/>
          <w:u w:val="single"/>
          <w:lang w:val="ro-RO"/>
        </w:rPr>
        <w:t xml:space="preserve">ii generale </w:t>
      </w:r>
      <w:r w:rsidR="0035096F" w:rsidRPr="00931B66">
        <w:rPr>
          <w:b/>
          <w:bCs/>
          <w:color w:val="000000"/>
          <w:u w:val="single"/>
          <w:lang w:val="ro-RO"/>
        </w:rPr>
        <w:t>ș</w:t>
      </w:r>
      <w:r w:rsidRPr="00931B66">
        <w:rPr>
          <w:b/>
          <w:bCs/>
          <w:color w:val="000000"/>
          <w:u w:val="single"/>
          <w:lang w:val="ro-RO"/>
        </w:rPr>
        <w:t>i condi</w:t>
      </w:r>
      <w:r w:rsidR="0035096F" w:rsidRPr="00931B66">
        <w:rPr>
          <w:b/>
          <w:bCs/>
          <w:color w:val="000000"/>
          <w:u w:val="single"/>
          <w:lang w:val="ro-RO"/>
        </w:rPr>
        <w:t>ț</w:t>
      </w:r>
      <w:r w:rsidRPr="00931B66">
        <w:rPr>
          <w:b/>
          <w:bCs/>
          <w:color w:val="000000"/>
          <w:u w:val="single"/>
          <w:lang w:val="ro-RO"/>
        </w:rPr>
        <w:t>ii specifice</w:t>
      </w:r>
      <w:r w:rsidRPr="00413CD2">
        <w:rPr>
          <w:bCs/>
          <w:color w:val="000000"/>
          <w:u w:val="single"/>
          <w:lang w:val="ro-RO"/>
        </w:rPr>
        <w:t>:</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22801ED9" w:rsidR="005B08BF" w:rsidRPr="00413CD2" w:rsidRDefault="005B08BF" w:rsidP="00C36D43">
      <w:pPr>
        <w:pStyle w:val="ListParagraph"/>
        <w:numPr>
          <w:ilvl w:val="0"/>
          <w:numId w:val="5"/>
        </w:numPr>
        <w:contextualSpacing/>
        <w:jc w:val="both"/>
        <w:rPr>
          <w:lang w:eastAsia="ro-RO"/>
        </w:rPr>
      </w:pPr>
      <w:r w:rsidRPr="00413CD2">
        <w:rPr>
          <w:b/>
          <w:lang w:eastAsia="ro-RO"/>
        </w:rPr>
        <w:t>nivelul studiilor:</w:t>
      </w:r>
      <w:r w:rsidR="00D44ABE" w:rsidRPr="00413CD2">
        <w:rPr>
          <w:b/>
          <w:lang w:eastAsia="ro-RO"/>
        </w:rPr>
        <w:t xml:space="preserve"> </w:t>
      </w:r>
      <w:r w:rsidR="00931B66">
        <w:rPr>
          <w:lang w:eastAsia="ro-RO"/>
        </w:rPr>
        <w:t>superioare</w:t>
      </w:r>
    </w:p>
    <w:p w14:paraId="77ECF9FE" w14:textId="24F2CECD" w:rsidR="005B08BF" w:rsidRPr="003A2636" w:rsidRDefault="005B08BF" w:rsidP="00C36D43">
      <w:pPr>
        <w:pStyle w:val="ListParagraph"/>
        <w:numPr>
          <w:ilvl w:val="0"/>
          <w:numId w:val="5"/>
        </w:numPr>
        <w:contextualSpacing/>
        <w:jc w:val="both"/>
        <w:rPr>
          <w:lang w:eastAsia="ro-RO"/>
        </w:rPr>
      </w:pPr>
      <w:r w:rsidRPr="003A2636">
        <w:rPr>
          <w:b/>
          <w:lang w:eastAsia="ro-RO"/>
        </w:rPr>
        <w:t>domeniul studiilor:</w:t>
      </w:r>
      <w:r w:rsidR="00D44ABE" w:rsidRPr="003A2636">
        <w:rPr>
          <w:b/>
          <w:lang w:eastAsia="ro-RO"/>
        </w:rPr>
        <w:t xml:space="preserve"> </w:t>
      </w:r>
      <w:r w:rsidR="003A2636" w:rsidRPr="003A2636">
        <w:rPr>
          <w:bCs/>
          <w:lang w:eastAsia="ro-RO"/>
        </w:rPr>
        <w:t>Științe Economice</w:t>
      </w:r>
    </w:p>
    <w:p w14:paraId="593F7464" w14:textId="11BF9517" w:rsidR="005B08BF" w:rsidRPr="006025A7" w:rsidRDefault="005B08BF" w:rsidP="00C36D43">
      <w:pPr>
        <w:pStyle w:val="ListParagraph"/>
        <w:numPr>
          <w:ilvl w:val="0"/>
          <w:numId w:val="5"/>
        </w:numPr>
        <w:ind w:left="426" w:hanging="426"/>
        <w:contextualSpacing/>
        <w:jc w:val="both"/>
        <w:rPr>
          <w:lang w:eastAsia="ro-RO"/>
        </w:rPr>
      </w:pPr>
      <w:r w:rsidRPr="006025A7">
        <w:rPr>
          <w:b/>
          <w:lang w:eastAsia="ro-RO"/>
        </w:rPr>
        <w:t>vechime</w:t>
      </w:r>
      <w:r w:rsidRPr="006025A7">
        <w:rPr>
          <w:lang w:eastAsia="ro-RO"/>
        </w:rPr>
        <w:t xml:space="preserve">: </w:t>
      </w:r>
      <w:bookmarkStart w:id="0" w:name="_Hlk101272309"/>
      <w:r w:rsidR="00F76674">
        <w:rPr>
          <w:lang w:eastAsia="ro-RO"/>
        </w:rPr>
        <w:t>5</w:t>
      </w:r>
      <w:bookmarkStart w:id="1" w:name="_GoBack"/>
      <w:bookmarkEnd w:id="1"/>
      <w:r w:rsidR="00931B66" w:rsidRPr="006025A7">
        <w:rPr>
          <w:lang w:eastAsia="ro-RO"/>
        </w:rPr>
        <w:t xml:space="preserve"> </w:t>
      </w:r>
      <w:r w:rsidR="006025A7" w:rsidRPr="006025A7">
        <w:rPr>
          <w:lang w:eastAsia="ro-RO"/>
        </w:rPr>
        <w:t>ani</w:t>
      </w:r>
      <w:bookmarkEnd w:id="0"/>
    </w:p>
    <w:p w14:paraId="7261088D" w14:textId="35810EAD" w:rsidR="005B08BF" w:rsidRPr="00413CD2" w:rsidRDefault="005B08BF" w:rsidP="00D44ABE">
      <w:pPr>
        <w:pStyle w:val="ListParagraph"/>
        <w:numPr>
          <w:ilvl w:val="0"/>
          <w:numId w:val="5"/>
        </w:numPr>
        <w:ind w:left="426" w:hanging="426"/>
        <w:contextualSpacing/>
        <w:jc w:val="both"/>
        <w:rPr>
          <w:color w:val="000000" w:themeColor="text1"/>
          <w:lang w:eastAsia="ro-RO"/>
        </w:rPr>
      </w:pPr>
      <w:r w:rsidRPr="00413CD2">
        <w:rPr>
          <w:color w:val="000000" w:themeColor="text1"/>
          <w:lang w:eastAsia="ro-RO"/>
        </w:rPr>
        <w:t>alte condi</w:t>
      </w:r>
      <w:r w:rsidR="0035096F" w:rsidRPr="00413CD2">
        <w:rPr>
          <w:color w:val="000000" w:themeColor="text1"/>
          <w:lang w:eastAsia="ro-RO"/>
        </w:rPr>
        <w:t>ț</w:t>
      </w:r>
      <w:r w:rsidR="00D44ABE" w:rsidRPr="00413CD2">
        <w:rPr>
          <w:color w:val="000000" w:themeColor="text1"/>
          <w:lang w:eastAsia="ro-RO"/>
        </w:rPr>
        <w:t xml:space="preserve">ii specifice: </w:t>
      </w:r>
      <w:r w:rsidR="006025A7" w:rsidRPr="006025A7">
        <w:rPr>
          <w:color w:val="000000" w:themeColor="text1"/>
          <w:lang w:eastAsia="ro-RO"/>
        </w:rPr>
        <w:t>experiență achiziți</w:t>
      </w:r>
      <w:r w:rsidR="006025A7">
        <w:rPr>
          <w:color w:val="000000" w:themeColor="text1"/>
          <w:lang w:eastAsia="ro-RO"/>
        </w:rPr>
        <w:t xml:space="preserve">i </w:t>
      </w:r>
      <w:r w:rsidR="007F5CE7">
        <w:rPr>
          <w:color w:val="000000" w:themeColor="text1"/>
          <w:lang w:eastAsia="ro-RO"/>
        </w:rPr>
        <w:t xml:space="preserve">minimum </w:t>
      </w:r>
      <w:r w:rsidR="006025A7">
        <w:rPr>
          <w:color w:val="000000" w:themeColor="text1"/>
          <w:lang w:eastAsia="ro-RO"/>
        </w:rPr>
        <w:t>3 ani</w:t>
      </w: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3F448540" w14:textId="77777777" w:rsidR="00DA2FE9" w:rsidRDefault="00C70BCF" w:rsidP="00DA2FE9">
      <w:pPr>
        <w:pStyle w:val="ListParagraph"/>
        <w:numPr>
          <w:ilvl w:val="0"/>
          <w:numId w:val="17"/>
        </w:numPr>
        <w:tabs>
          <w:tab w:val="left" w:pos="360"/>
        </w:tabs>
        <w:ind w:left="284" w:right="147" w:hanging="284"/>
        <w:jc w:val="both"/>
      </w:pPr>
      <w:r>
        <w:t>P</w:t>
      </w:r>
      <w:r w:rsidRPr="00732025">
        <w:t>articipă la activitățile specifice postului;</w:t>
      </w:r>
    </w:p>
    <w:p w14:paraId="56FAAC1E" w14:textId="33504876" w:rsidR="00931B66" w:rsidRDefault="00DA2FE9" w:rsidP="00931B66">
      <w:pPr>
        <w:pStyle w:val="ListParagraph"/>
        <w:numPr>
          <w:ilvl w:val="0"/>
          <w:numId w:val="17"/>
        </w:numPr>
        <w:tabs>
          <w:tab w:val="left" w:pos="360"/>
        </w:tabs>
        <w:ind w:left="284" w:right="147" w:hanging="284"/>
        <w:jc w:val="both"/>
      </w:pPr>
      <w:r>
        <w:t>E</w:t>
      </w:r>
      <w:r w:rsidRPr="00352E64">
        <w:t xml:space="preserve">laborează documentația de atribuire și documentele suport în etapa de pregătire </w:t>
      </w:r>
      <w:r w:rsidR="00931B66">
        <w:t>a</w:t>
      </w:r>
      <w:r w:rsidRPr="00352E64">
        <w:t xml:space="preserve"> achiziției publice de produse și servicii necesare pentru realizarea activităților proiectului la nivelul instituției partener</w:t>
      </w:r>
      <w:r w:rsidR="00931B66">
        <w:t>e</w:t>
      </w:r>
      <w:r w:rsidRPr="00352E64">
        <w:t>, inclusiv la elaborarea caietelor de sarcini/documentațiile de atribuire/specificațiile tehnice, parte a documentației de atribuire;</w:t>
      </w:r>
    </w:p>
    <w:p w14:paraId="1F141839" w14:textId="77777777" w:rsidR="00931B66" w:rsidRDefault="00931B66" w:rsidP="00931B66">
      <w:pPr>
        <w:pStyle w:val="ListParagraph"/>
        <w:numPr>
          <w:ilvl w:val="0"/>
          <w:numId w:val="17"/>
        </w:numPr>
        <w:tabs>
          <w:tab w:val="left" w:pos="360"/>
        </w:tabs>
        <w:ind w:left="284" w:right="147" w:hanging="284"/>
        <w:jc w:val="both"/>
      </w:pPr>
      <w:r>
        <w:t>C</w:t>
      </w:r>
      <w:r w:rsidR="00DA2FE9" w:rsidRPr="00352E64">
        <w:t xml:space="preserve">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w:t>
      </w:r>
      <w:r w:rsidR="00DA2FE9" w:rsidRPr="00352E64">
        <w:lastRenderedPageBreak/>
        <w:t>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14:paraId="629FCB5F" w14:textId="77777777" w:rsidR="00931B66" w:rsidRDefault="00931B66" w:rsidP="00931B66">
      <w:pPr>
        <w:pStyle w:val="ListParagraph"/>
        <w:numPr>
          <w:ilvl w:val="0"/>
          <w:numId w:val="17"/>
        </w:numPr>
        <w:tabs>
          <w:tab w:val="left" w:pos="360"/>
        </w:tabs>
        <w:ind w:left="284" w:right="147" w:hanging="284"/>
        <w:jc w:val="both"/>
      </w:pPr>
      <w:r>
        <w:t>F</w:t>
      </w:r>
      <w:r w:rsidR="00DA2FE9" w:rsidRPr="00352E64">
        <w:t>ormulează puncte de vedere la Notificările prealabile și contestațiile depuse de operatorii economici pentru procedurile de achiziție publică de servicii și produse organizate la nivelul instituției partener</w:t>
      </w:r>
      <w:r>
        <w:t>e</w:t>
      </w:r>
      <w:r w:rsidR="00DA2FE9" w:rsidRPr="00352E64">
        <w:t>;</w:t>
      </w:r>
    </w:p>
    <w:p w14:paraId="57B50115" w14:textId="77777777" w:rsidR="00931B66" w:rsidRDefault="00931B66" w:rsidP="00931B66">
      <w:pPr>
        <w:pStyle w:val="ListParagraph"/>
        <w:numPr>
          <w:ilvl w:val="0"/>
          <w:numId w:val="17"/>
        </w:numPr>
        <w:tabs>
          <w:tab w:val="left" w:pos="360"/>
        </w:tabs>
        <w:ind w:left="284" w:right="147" w:hanging="284"/>
        <w:jc w:val="both"/>
      </w:pPr>
      <w:r>
        <w:t>R</w:t>
      </w:r>
      <w:r w:rsidR="00DA2FE9" w:rsidRPr="00352E64">
        <w:t>ăspunde de pregătirea contractelor ce se încheie cu câștigătorii procedurilor de achiziție publică;</w:t>
      </w:r>
    </w:p>
    <w:p w14:paraId="0FCE9E70" w14:textId="77777777" w:rsidR="00931B66" w:rsidRDefault="00931B66" w:rsidP="00931B66">
      <w:pPr>
        <w:pStyle w:val="ListParagraph"/>
        <w:numPr>
          <w:ilvl w:val="0"/>
          <w:numId w:val="17"/>
        </w:numPr>
        <w:tabs>
          <w:tab w:val="left" w:pos="360"/>
        </w:tabs>
        <w:ind w:left="284" w:right="147" w:hanging="284"/>
        <w:jc w:val="both"/>
      </w:pPr>
      <w:r>
        <w:t>R</w:t>
      </w:r>
      <w:r w:rsidR="00DA2FE9" w:rsidRPr="00352E64">
        <w:t xml:space="preserve">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14:paraId="6E3EAAA8" w14:textId="77777777" w:rsidR="00931B66" w:rsidRDefault="00931B66" w:rsidP="00931B66">
      <w:pPr>
        <w:pStyle w:val="ListParagraph"/>
        <w:numPr>
          <w:ilvl w:val="0"/>
          <w:numId w:val="17"/>
        </w:numPr>
        <w:tabs>
          <w:tab w:val="left" w:pos="360"/>
        </w:tabs>
        <w:ind w:left="284" w:right="147" w:hanging="284"/>
        <w:jc w:val="both"/>
      </w:pPr>
      <w:r>
        <w:t>E</w:t>
      </w:r>
      <w:r w:rsidR="00DA2FE9" w:rsidRPr="00352E64">
        <w:t>laborează și actualizează PAAP proiect și procedurile de lucru aplicabile achizițiilor publice la nivelul instituției partener</w:t>
      </w:r>
    </w:p>
    <w:p w14:paraId="156D4D9C" w14:textId="77777777" w:rsidR="00931B66" w:rsidRDefault="00931B66" w:rsidP="00931B66">
      <w:pPr>
        <w:pStyle w:val="ListParagraph"/>
        <w:numPr>
          <w:ilvl w:val="0"/>
          <w:numId w:val="17"/>
        </w:numPr>
        <w:tabs>
          <w:tab w:val="left" w:pos="360"/>
        </w:tabs>
        <w:ind w:left="284" w:right="147" w:hanging="284"/>
        <w:jc w:val="both"/>
      </w:pPr>
      <w:r>
        <w:t>R</w:t>
      </w:r>
      <w:r w:rsidR="00DA2FE9" w:rsidRPr="00352E64">
        <w:t>ealizează achizițiile directe de produse și servicii necesare pentru realizarea activităților proiectului, în condițiile legii;</w:t>
      </w:r>
    </w:p>
    <w:p w14:paraId="7BEC36AB" w14:textId="77777777" w:rsidR="00931B66" w:rsidRDefault="00931B66" w:rsidP="00931B66">
      <w:pPr>
        <w:pStyle w:val="ListParagraph"/>
        <w:numPr>
          <w:ilvl w:val="0"/>
          <w:numId w:val="17"/>
        </w:numPr>
        <w:tabs>
          <w:tab w:val="left" w:pos="360"/>
        </w:tabs>
        <w:ind w:left="284" w:right="147" w:hanging="284"/>
        <w:jc w:val="both"/>
      </w:pPr>
      <w:r>
        <w:t>C</w:t>
      </w:r>
      <w:r w:rsidR="00DA2FE9" w:rsidRPr="00352E64">
        <w:t>onstituie și păstrează dosarul achiziției păstrează și asigură posibilitatea documentelor achiziției de către organele îndreptățite pentru audit și control;</w:t>
      </w:r>
    </w:p>
    <w:p w14:paraId="09716B0A" w14:textId="77777777" w:rsidR="00931B66" w:rsidRDefault="00931B66" w:rsidP="00931B66">
      <w:pPr>
        <w:pStyle w:val="ListParagraph"/>
        <w:numPr>
          <w:ilvl w:val="0"/>
          <w:numId w:val="17"/>
        </w:numPr>
        <w:tabs>
          <w:tab w:val="left" w:pos="360"/>
        </w:tabs>
        <w:ind w:left="284" w:right="147" w:hanging="284"/>
        <w:jc w:val="both"/>
      </w:pPr>
      <w:r>
        <w:t>I</w:t>
      </w:r>
      <w:r w:rsidR="00DA2FE9" w:rsidRPr="00352E64">
        <w:t>nformează directorul de proiect privind situația existentă în legătură cu procesele de achiziție publică prevăzute în PAAP proiect, în condițiile legii;</w:t>
      </w:r>
    </w:p>
    <w:p w14:paraId="32B2F40C" w14:textId="77777777" w:rsidR="00931B66" w:rsidRDefault="00931B66" w:rsidP="00931B66">
      <w:pPr>
        <w:pStyle w:val="ListParagraph"/>
        <w:numPr>
          <w:ilvl w:val="0"/>
          <w:numId w:val="17"/>
        </w:numPr>
        <w:tabs>
          <w:tab w:val="left" w:pos="360"/>
        </w:tabs>
        <w:ind w:left="284" w:right="147" w:hanging="284"/>
        <w:jc w:val="both"/>
      </w:pPr>
      <w:r>
        <w:t>A</w:t>
      </w:r>
      <w:r w:rsidR="00DA2FE9" w:rsidRPr="00352E64">
        <w:t>sigură menținerea unei legături permanente cu reprezentanții direcției de specialitate din cadrul ministerului și actualizarea PAAP pe minister din perspectiva achizițiilor proiectului;</w:t>
      </w:r>
    </w:p>
    <w:p w14:paraId="6AC6D1CD" w14:textId="77777777" w:rsidR="00931B66" w:rsidRDefault="00931B66" w:rsidP="00931B66">
      <w:pPr>
        <w:pStyle w:val="ListParagraph"/>
        <w:numPr>
          <w:ilvl w:val="0"/>
          <w:numId w:val="17"/>
        </w:numPr>
        <w:tabs>
          <w:tab w:val="left" w:pos="360"/>
        </w:tabs>
        <w:ind w:left="284" w:right="147" w:hanging="284"/>
        <w:jc w:val="both"/>
      </w:pPr>
      <w:r>
        <w:t>P</w:t>
      </w:r>
      <w:r w:rsidR="00DA2FE9" w:rsidRPr="00352E64">
        <w:t>articipă la elaborarea documentelor de management al proiectului;</w:t>
      </w:r>
    </w:p>
    <w:p w14:paraId="50D3B6E7" w14:textId="77777777" w:rsidR="00931B66" w:rsidRDefault="00931B66" w:rsidP="00931B66">
      <w:pPr>
        <w:pStyle w:val="ListParagraph"/>
        <w:numPr>
          <w:ilvl w:val="0"/>
          <w:numId w:val="17"/>
        </w:numPr>
        <w:tabs>
          <w:tab w:val="left" w:pos="360"/>
        </w:tabs>
        <w:ind w:left="284" w:right="147" w:hanging="284"/>
        <w:jc w:val="both"/>
      </w:pPr>
      <w:r>
        <w:t xml:space="preserve"> P</w:t>
      </w:r>
      <w:r w:rsidR="00DA2FE9" w:rsidRPr="00931B66">
        <w:t>articipă la activitatea de arhivare a documentației aferente proiectului, conform contractului de finanțare (acordului de grant) și legislației în vigoare;</w:t>
      </w:r>
    </w:p>
    <w:p w14:paraId="66E83F38" w14:textId="77777777" w:rsidR="00931B66" w:rsidRDefault="00931B66" w:rsidP="00931B66">
      <w:pPr>
        <w:pStyle w:val="ListParagraph"/>
        <w:numPr>
          <w:ilvl w:val="0"/>
          <w:numId w:val="17"/>
        </w:numPr>
        <w:tabs>
          <w:tab w:val="left" w:pos="360"/>
        </w:tabs>
        <w:ind w:left="284" w:right="147" w:hanging="284"/>
        <w:jc w:val="both"/>
      </w:pPr>
      <w:r>
        <w:t>A</w:t>
      </w:r>
      <w:r w:rsidR="00DA2FE9" w:rsidRPr="00352E64">
        <w:t xml:space="preserve">sigură gestiunea </w:t>
      </w:r>
      <w:proofErr w:type="spellStart"/>
      <w:r w:rsidR="00DA2FE9" w:rsidRPr="00352E64">
        <w:t>documentaţiei</w:t>
      </w:r>
      <w:proofErr w:type="spellEnd"/>
      <w:r w:rsidR="00DA2FE9" w:rsidRPr="00352E64">
        <w:t xml:space="preserve"> proiectului </w:t>
      </w:r>
      <w:proofErr w:type="spellStart"/>
      <w:r w:rsidR="00DA2FE9" w:rsidRPr="00352E64">
        <w:t>şi</w:t>
      </w:r>
      <w:proofErr w:type="spellEnd"/>
      <w:r w:rsidR="00DA2FE9" w:rsidRPr="00352E64">
        <w:t xml:space="preserve"> după finalizarea proiectului, pe perioada prevăzută de reglementările legale în vigoare;</w:t>
      </w:r>
    </w:p>
    <w:p w14:paraId="47509356" w14:textId="77777777" w:rsidR="00931B66" w:rsidRPr="00931B66" w:rsidRDefault="00931B66" w:rsidP="00931B66">
      <w:pPr>
        <w:pStyle w:val="ListParagraph"/>
        <w:numPr>
          <w:ilvl w:val="0"/>
          <w:numId w:val="17"/>
        </w:numPr>
        <w:tabs>
          <w:tab w:val="left" w:pos="360"/>
        </w:tabs>
        <w:ind w:left="284" w:right="147" w:hanging="284"/>
        <w:jc w:val="both"/>
      </w:pPr>
      <w:r>
        <w:rPr>
          <w:shd w:val="clear" w:color="auto" w:fill="FFFFFF"/>
        </w:rPr>
        <w:t>A</w:t>
      </w:r>
      <w:r w:rsidR="00DA2FE9" w:rsidRPr="00931B66">
        <w:rPr>
          <w:shd w:val="clear" w:color="auto" w:fill="FFFFFF"/>
        </w:rPr>
        <w:t xml:space="preserve">sigură respectarea </w:t>
      </w:r>
      <w:proofErr w:type="spellStart"/>
      <w:r w:rsidR="00DA2FE9" w:rsidRPr="00931B66">
        <w:rPr>
          <w:shd w:val="clear" w:color="auto" w:fill="FFFFFF"/>
        </w:rPr>
        <w:t>legislaţiei</w:t>
      </w:r>
      <w:proofErr w:type="spellEnd"/>
      <w:r w:rsidR="00DA2FE9" w:rsidRPr="00931B66">
        <w:rPr>
          <w:shd w:val="clear" w:color="auto" w:fill="FFFFFF"/>
        </w:rPr>
        <w:t xml:space="preserve"> în domeniul de expertiză;</w:t>
      </w:r>
    </w:p>
    <w:p w14:paraId="04D5D6C9" w14:textId="77777777" w:rsidR="00931B66" w:rsidRDefault="00931B66" w:rsidP="00931B66">
      <w:pPr>
        <w:pStyle w:val="ListParagraph"/>
        <w:numPr>
          <w:ilvl w:val="0"/>
          <w:numId w:val="17"/>
        </w:numPr>
        <w:tabs>
          <w:tab w:val="left" w:pos="360"/>
        </w:tabs>
        <w:ind w:left="284" w:right="147" w:hanging="284"/>
        <w:jc w:val="both"/>
      </w:pPr>
      <w:r>
        <w:t>R</w:t>
      </w:r>
      <w:r w:rsidR="00DA2FE9" w:rsidRPr="00931B66">
        <w:t>espectă procedurile și metodologiile stabilite în cadrul proiectului, precum și deciziile responsabilului de proiect;</w:t>
      </w:r>
    </w:p>
    <w:p w14:paraId="54AB3F55" w14:textId="77777777" w:rsidR="00931B66" w:rsidRPr="00931B66" w:rsidRDefault="00931B66" w:rsidP="00931B66">
      <w:pPr>
        <w:pStyle w:val="ListParagraph"/>
        <w:numPr>
          <w:ilvl w:val="0"/>
          <w:numId w:val="17"/>
        </w:numPr>
        <w:tabs>
          <w:tab w:val="left" w:pos="360"/>
        </w:tabs>
        <w:ind w:left="284" w:right="147" w:hanging="284"/>
        <w:jc w:val="both"/>
      </w:pPr>
      <w:r>
        <w:rPr>
          <w:shd w:val="clear" w:color="auto" w:fill="FFFFFF"/>
        </w:rPr>
        <w:t>P</w:t>
      </w:r>
      <w:r w:rsidR="00DA2FE9" w:rsidRPr="00931B66">
        <w:rPr>
          <w:shd w:val="clear" w:color="auto" w:fill="FFFFFF"/>
        </w:rPr>
        <w:t xml:space="preserve">articipă la întrunirile de lucru ale echipei de management </w:t>
      </w:r>
      <w:proofErr w:type="spellStart"/>
      <w:r w:rsidR="00DA2FE9" w:rsidRPr="00931B66">
        <w:rPr>
          <w:shd w:val="clear" w:color="auto" w:fill="FFFFFF"/>
        </w:rPr>
        <w:t>desfăşurate</w:t>
      </w:r>
      <w:proofErr w:type="spellEnd"/>
      <w:r w:rsidR="00DA2FE9" w:rsidRPr="00931B66">
        <w:rPr>
          <w:shd w:val="clear" w:color="auto" w:fill="FFFFFF"/>
        </w:rPr>
        <w:t xml:space="preserve"> în scopul implementării proiectului;</w:t>
      </w:r>
    </w:p>
    <w:p w14:paraId="7ECB6273" w14:textId="77777777" w:rsidR="00931B66" w:rsidRDefault="00931B66" w:rsidP="00931B66">
      <w:pPr>
        <w:pStyle w:val="ListParagraph"/>
        <w:numPr>
          <w:ilvl w:val="0"/>
          <w:numId w:val="17"/>
        </w:numPr>
        <w:tabs>
          <w:tab w:val="left" w:pos="360"/>
        </w:tabs>
        <w:ind w:left="284" w:right="147" w:hanging="284"/>
        <w:jc w:val="both"/>
      </w:pPr>
      <w:r>
        <w:t>R</w:t>
      </w:r>
      <w:r w:rsidR="00DA2FE9" w:rsidRPr="00931B66">
        <w:t xml:space="preserve">espectă </w:t>
      </w:r>
      <w:proofErr w:type="spellStart"/>
      <w:r w:rsidR="00DA2FE9" w:rsidRPr="00931B66">
        <w:t>confidenţialitatea</w:t>
      </w:r>
      <w:proofErr w:type="spellEnd"/>
      <w:r w:rsidR="00DA2FE9" w:rsidRPr="00931B66">
        <w:t xml:space="preserve"> </w:t>
      </w:r>
      <w:proofErr w:type="spellStart"/>
      <w:r w:rsidR="00DA2FE9" w:rsidRPr="00931B66">
        <w:t>informaţiilor</w:t>
      </w:r>
      <w:proofErr w:type="spellEnd"/>
      <w:r w:rsidR="00DA2FE9" w:rsidRPr="00931B66">
        <w:t xml:space="preserve"> si a datelor furnizate de companiile interesate de realizarea proiectului de cercetare ce sunt utilizate exclusiv în cadrul acestui proiectul;</w:t>
      </w:r>
    </w:p>
    <w:p w14:paraId="2E6A1C9B" w14:textId="77777777" w:rsidR="00931B66" w:rsidRDefault="00931B66" w:rsidP="00931B66">
      <w:pPr>
        <w:pStyle w:val="ListParagraph"/>
        <w:numPr>
          <w:ilvl w:val="0"/>
          <w:numId w:val="17"/>
        </w:numPr>
        <w:tabs>
          <w:tab w:val="left" w:pos="360"/>
        </w:tabs>
        <w:ind w:left="284" w:right="147" w:hanging="284"/>
        <w:jc w:val="both"/>
      </w:pPr>
      <w:r>
        <w:t>I</w:t>
      </w:r>
      <w:r w:rsidR="00DA2FE9" w:rsidRPr="00352E64">
        <w:t>nformează directorul de proiect în legătură cu dificultățile apărute, precum și cu orice altă situație care împiedică buna desfășurare a activității de care răspunde;</w:t>
      </w:r>
    </w:p>
    <w:p w14:paraId="235D4889" w14:textId="77777777" w:rsidR="00931B66" w:rsidRDefault="00931B66" w:rsidP="00931B66">
      <w:pPr>
        <w:pStyle w:val="ListParagraph"/>
        <w:numPr>
          <w:ilvl w:val="0"/>
          <w:numId w:val="17"/>
        </w:numPr>
        <w:tabs>
          <w:tab w:val="left" w:pos="360"/>
        </w:tabs>
        <w:ind w:left="284" w:right="147" w:hanging="284"/>
        <w:jc w:val="both"/>
      </w:pPr>
      <w:r>
        <w:t>A</w:t>
      </w:r>
      <w:r w:rsidR="00DA2FE9" w:rsidRPr="00352E64">
        <w:t>sigură disponibilitatea documentelor legate de activitatea proprie în implementarea proiectului, la cerere și în termen;</w:t>
      </w:r>
    </w:p>
    <w:p w14:paraId="3724D179" w14:textId="77777777" w:rsidR="00931B66" w:rsidRDefault="00931B66" w:rsidP="00931B66">
      <w:pPr>
        <w:pStyle w:val="ListParagraph"/>
        <w:numPr>
          <w:ilvl w:val="0"/>
          <w:numId w:val="17"/>
        </w:numPr>
        <w:tabs>
          <w:tab w:val="left" w:pos="360"/>
        </w:tabs>
        <w:ind w:left="284" w:right="147" w:hanging="284"/>
        <w:jc w:val="both"/>
      </w:pPr>
      <w:r>
        <w:t>A</w:t>
      </w:r>
      <w:r w:rsidR="00DA2FE9" w:rsidRPr="00352E64">
        <w:t xml:space="preserve">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5E57B6A0" w14:textId="77777777" w:rsidR="00931B66" w:rsidRDefault="00931B66" w:rsidP="00931B66">
      <w:pPr>
        <w:pStyle w:val="ListParagraph"/>
        <w:numPr>
          <w:ilvl w:val="0"/>
          <w:numId w:val="17"/>
        </w:numPr>
        <w:tabs>
          <w:tab w:val="left" w:pos="360"/>
        </w:tabs>
        <w:ind w:left="284" w:right="147" w:hanging="284"/>
        <w:jc w:val="both"/>
      </w:pPr>
      <w:r>
        <w:t>R</w:t>
      </w:r>
      <w:r w:rsidR="00DA2FE9" w:rsidRPr="00352E64">
        <w:t xml:space="preserve">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0C7867A9" w14:textId="77777777" w:rsidR="00931B66" w:rsidRDefault="00931B66" w:rsidP="00931B66">
      <w:pPr>
        <w:pStyle w:val="ListParagraph"/>
        <w:numPr>
          <w:ilvl w:val="0"/>
          <w:numId w:val="17"/>
        </w:numPr>
        <w:tabs>
          <w:tab w:val="left" w:pos="360"/>
        </w:tabs>
        <w:ind w:left="284" w:right="147" w:hanging="284"/>
        <w:jc w:val="both"/>
      </w:pPr>
      <w:r>
        <w:lastRenderedPageBreak/>
        <w:t>L</w:t>
      </w:r>
      <w:r w:rsidR="00DA2FE9" w:rsidRPr="00352E64">
        <w:t>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14:paraId="6B0702CD" w14:textId="77777777" w:rsidR="00931B66" w:rsidRDefault="00931B66" w:rsidP="00931B66">
      <w:pPr>
        <w:pStyle w:val="ListParagraph"/>
        <w:numPr>
          <w:ilvl w:val="0"/>
          <w:numId w:val="17"/>
        </w:numPr>
        <w:tabs>
          <w:tab w:val="left" w:pos="360"/>
        </w:tabs>
        <w:ind w:left="284" w:right="147" w:hanging="284"/>
        <w:jc w:val="both"/>
      </w:pPr>
      <w:r>
        <w:t>D</w:t>
      </w:r>
      <w:r w:rsidR="00DA2FE9" w:rsidRPr="00352E64">
        <w:t>acă, din motive independente, activitatea în cadrul proiectului este întreruptă, salariatul are obligația predării documentației corecte și complete;</w:t>
      </w:r>
    </w:p>
    <w:p w14:paraId="7790B6DF" w14:textId="77777777" w:rsidR="00931B66" w:rsidRDefault="00931B66" w:rsidP="00931B66">
      <w:pPr>
        <w:pStyle w:val="ListParagraph"/>
        <w:numPr>
          <w:ilvl w:val="0"/>
          <w:numId w:val="17"/>
        </w:numPr>
        <w:tabs>
          <w:tab w:val="left" w:pos="360"/>
        </w:tabs>
        <w:ind w:left="284" w:right="147" w:hanging="284"/>
        <w:jc w:val="both"/>
      </w:pPr>
      <w:r>
        <w:t>Re</w:t>
      </w:r>
      <w:r w:rsidRPr="00352E64">
        <w:t>spectă principiile de integritate morală și profesională;</w:t>
      </w:r>
    </w:p>
    <w:p w14:paraId="72CA2359" w14:textId="5E0AA929" w:rsidR="00931B66" w:rsidRPr="00931B66" w:rsidRDefault="00931B66" w:rsidP="00931B66">
      <w:pPr>
        <w:pStyle w:val="ListParagraph"/>
        <w:numPr>
          <w:ilvl w:val="0"/>
          <w:numId w:val="17"/>
        </w:numPr>
        <w:tabs>
          <w:tab w:val="left" w:pos="360"/>
        </w:tabs>
        <w:ind w:left="284" w:right="147" w:hanging="284"/>
        <w:jc w:val="both"/>
      </w:pPr>
      <w:r>
        <w:t>R</w:t>
      </w:r>
      <w:r w:rsidRPr="00931B66">
        <w:t>ealizează un raport propriu de activitate și fișa de pontaj lunar, aferentă activității desfășurate în cadrul proiectului pe care le predă directorului de proiect în cel mult 3 zile de la încheierea calendaristică a lunii;</w:t>
      </w:r>
    </w:p>
    <w:p w14:paraId="2EE1C0D4" w14:textId="31288829" w:rsidR="005B08BF" w:rsidRPr="00DA2FE9" w:rsidRDefault="00D44ABE" w:rsidP="00931B66">
      <w:pPr>
        <w:pStyle w:val="ListParagraph"/>
        <w:numPr>
          <w:ilvl w:val="0"/>
          <w:numId w:val="17"/>
        </w:numPr>
        <w:tabs>
          <w:tab w:val="left" w:pos="360"/>
        </w:tabs>
        <w:ind w:left="284" w:right="147" w:hanging="284"/>
        <w:jc w:val="both"/>
      </w:pPr>
      <w:r w:rsidRPr="00931B66">
        <w:rPr>
          <w:color w:val="0D0D0D"/>
          <w:lang w:eastAsia="ar-SA"/>
        </w:rPr>
        <w:t>A</w:t>
      </w:r>
      <w:r w:rsidRPr="00DA2FE9">
        <w:t xml:space="preserve">lte sarcini, stabilite de </w:t>
      </w:r>
      <w:r w:rsidR="00D23490" w:rsidRPr="00DA2FE9">
        <w:t>către</w:t>
      </w:r>
      <w:r w:rsidRPr="00DA2FE9">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2F1171B7" w14:textId="77777777" w:rsidR="00C55D0D" w:rsidRPr="00C533E7" w:rsidRDefault="00C55D0D" w:rsidP="00C55D0D">
      <w:pPr>
        <w:pStyle w:val="ListParagraph"/>
        <w:numPr>
          <w:ilvl w:val="0"/>
          <w:numId w:val="3"/>
        </w:numPr>
        <w:jc w:val="both"/>
        <w:rPr>
          <w:color w:val="000000" w:themeColor="text1"/>
          <w:lang w:eastAsia="ro-RO"/>
        </w:rPr>
      </w:pPr>
      <w:bookmarkStart w:id="2" w:name="_Hlk101223005"/>
      <w:r w:rsidRPr="00327457">
        <w:rPr>
          <w:color w:val="000000" w:themeColor="text1"/>
          <w:lang w:eastAsia="ro-RO"/>
        </w:rPr>
        <w:t>Planurile de învățământ de la programele de studii ale ASE București și competențele dobândite de studenți</w:t>
      </w:r>
      <w:r w:rsidRPr="00C533E7">
        <w:rPr>
          <w:color w:val="000000" w:themeColor="text1"/>
          <w:lang w:eastAsia="ro-RO"/>
        </w:rPr>
        <w:t>;</w:t>
      </w:r>
    </w:p>
    <w:p w14:paraId="4B444382" w14:textId="77777777" w:rsidR="00C55D0D" w:rsidRPr="00C533E7" w:rsidRDefault="00C55D0D" w:rsidP="00C55D0D">
      <w:pPr>
        <w:pStyle w:val="ListParagraph"/>
        <w:numPr>
          <w:ilvl w:val="0"/>
          <w:numId w:val="3"/>
        </w:numPr>
        <w:spacing w:after="120" w:line="276" w:lineRule="auto"/>
        <w:contextualSpacing/>
        <w:jc w:val="both"/>
        <w:rPr>
          <w:color w:val="000000" w:themeColor="text1"/>
          <w:lang w:eastAsia="ro-RO"/>
        </w:rPr>
      </w:pPr>
      <w:bookmarkStart w:id="3" w:name="_Hlk101217475"/>
      <w:r>
        <w:rPr>
          <w:color w:val="000000" w:themeColor="text1"/>
          <w:lang w:eastAsia="ro-RO"/>
        </w:rPr>
        <w:t>I</w:t>
      </w:r>
      <w:r w:rsidRPr="00C533E7">
        <w:rPr>
          <w:color w:val="000000" w:themeColor="text1"/>
          <w:lang w:eastAsia="ro-RO"/>
        </w:rPr>
        <w:t xml:space="preserve">nstrumente </w:t>
      </w:r>
      <w:r>
        <w:rPr>
          <w:color w:val="000000" w:themeColor="text1"/>
          <w:lang w:eastAsia="ro-RO"/>
        </w:rPr>
        <w:t>în vederea</w:t>
      </w:r>
      <w:r w:rsidRPr="00C533E7">
        <w:rPr>
          <w:color w:val="000000" w:themeColor="text1"/>
          <w:lang w:eastAsia="ro-RO"/>
        </w:rPr>
        <w:t xml:space="preserve"> monitorizării</w:t>
      </w:r>
      <w:r w:rsidRPr="00D75F90">
        <w:rPr>
          <w:color w:val="000000" w:themeColor="text1"/>
          <w:lang w:eastAsia="ro-RO"/>
        </w:rPr>
        <w:t xml:space="preserve"> parcursului profesional și a inserției pe piața muncii a absolvenților</w:t>
      </w:r>
      <w:r w:rsidRPr="00C533E7">
        <w:rPr>
          <w:color w:val="000000" w:themeColor="text1"/>
          <w:lang w:eastAsia="ro-RO"/>
        </w:rPr>
        <w:t>;</w:t>
      </w:r>
    </w:p>
    <w:bookmarkEnd w:id="3"/>
    <w:p w14:paraId="65587B1D" w14:textId="14DEBDC0" w:rsidR="00D44ABE" w:rsidRPr="00C533E7" w:rsidRDefault="00C55D0D" w:rsidP="00C55D0D">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Organizarea si funcţionarea centrelor de consiliere şi orientare în carieră în sistemul de învățământ superior din Rom</w:t>
      </w:r>
      <w:r>
        <w:rPr>
          <w:color w:val="000000" w:themeColor="text1"/>
        </w:rPr>
        <w:t>â</w:t>
      </w:r>
      <w:r w:rsidRPr="00C533E7">
        <w:rPr>
          <w:color w:val="000000" w:themeColor="text1"/>
        </w:rPr>
        <w:t>nia</w:t>
      </w:r>
      <w:bookmarkEnd w:id="2"/>
      <w:r w:rsidR="00D44ABE" w:rsidRPr="00C533E7">
        <w:rPr>
          <w:color w:val="000000" w:themeColor="text1"/>
        </w:rPr>
        <w:t>;</w:t>
      </w:r>
    </w:p>
    <w:p w14:paraId="11CF88BE" w14:textId="1032AB70" w:rsidR="00D543E7" w:rsidRPr="00C533E7" w:rsidRDefault="00D543E7"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14189180" w14:textId="77777777" w:rsidR="00C55D0D" w:rsidRPr="00413CD2" w:rsidRDefault="00C55D0D" w:rsidP="00C55D0D">
      <w:pPr>
        <w:pStyle w:val="ListParagraph"/>
        <w:numPr>
          <w:ilvl w:val="0"/>
          <w:numId w:val="18"/>
        </w:numPr>
        <w:tabs>
          <w:tab w:val="left" w:pos="284"/>
        </w:tabs>
        <w:contextualSpacing/>
        <w:jc w:val="both"/>
      </w:pPr>
      <w:bookmarkStart w:id="4" w:name="_Hlk101224629"/>
      <w:bookmarkStart w:id="5" w:name="_Hlk101217515"/>
      <w:r w:rsidRPr="00413CD2">
        <w:rPr>
          <w:rFonts w:eastAsiaTheme="minorHAnsi"/>
        </w:rPr>
        <w:t xml:space="preserve">***, COR – Clasificarea </w:t>
      </w:r>
      <w:proofErr w:type="spellStart"/>
      <w:r w:rsidRPr="00413CD2">
        <w:rPr>
          <w:rFonts w:eastAsiaTheme="minorHAnsi"/>
        </w:rPr>
        <w:t>ocupaţiilor</w:t>
      </w:r>
      <w:proofErr w:type="spellEnd"/>
      <w:r w:rsidRPr="00413CD2">
        <w:rPr>
          <w:rFonts w:eastAsiaTheme="minorHAnsi"/>
        </w:rPr>
        <w:t xml:space="preserve"> din România</w:t>
      </w:r>
    </w:p>
    <w:p w14:paraId="0D9299C5" w14:textId="77777777" w:rsidR="00C55D0D" w:rsidRDefault="00C55D0D" w:rsidP="00C55D0D">
      <w:pPr>
        <w:pStyle w:val="ListParagraph"/>
        <w:numPr>
          <w:ilvl w:val="0"/>
          <w:numId w:val="18"/>
        </w:numPr>
        <w:tabs>
          <w:tab w:val="left" w:pos="284"/>
        </w:tabs>
        <w:contextualSpacing/>
        <w:jc w:val="both"/>
      </w:pPr>
      <w:r w:rsidRPr="00413CD2">
        <w:t xml:space="preserve">***, Legea  </w:t>
      </w:r>
      <w:proofErr w:type="spellStart"/>
      <w:r w:rsidRPr="00413CD2">
        <w:t>Educaţiei</w:t>
      </w:r>
      <w:proofErr w:type="spellEnd"/>
      <w:r w:rsidRPr="00413CD2">
        <w:t xml:space="preserve"> </w:t>
      </w:r>
      <w:proofErr w:type="spellStart"/>
      <w:r w:rsidRPr="00413CD2">
        <w:t>Naţionale</w:t>
      </w:r>
      <w:proofErr w:type="spellEnd"/>
      <w:r w:rsidRPr="00413CD2">
        <w:t>,  nr. 1/2011, completată şi modificată;</w:t>
      </w:r>
    </w:p>
    <w:p w14:paraId="4C21CBDE" w14:textId="77777777" w:rsidR="00C55D0D" w:rsidRDefault="00C55D0D" w:rsidP="00C55D0D">
      <w:pPr>
        <w:pStyle w:val="ListParagraph"/>
        <w:numPr>
          <w:ilvl w:val="0"/>
          <w:numId w:val="18"/>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w:t>
      </w:r>
      <w:proofErr w:type="spellStart"/>
      <w:r w:rsidRPr="00413CD2">
        <w:t>ședinta</w:t>
      </w:r>
      <w:proofErr w:type="spellEnd"/>
      <w:r w:rsidRPr="00413CD2">
        <w:t xml:space="preserve"> Senatului ASE din 27 mai 2015, disponibilă la: </w:t>
      </w:r>
      <w:hyperlink r:id="rId8" w:history="1">
        <w:r w:rsidRPr="00413CD2">
          <w:rPr>
            <w:rStyle w:val="Hyperlink"/>
          </w:rPr>
          <w:t>http://consiliere.ase.ro/metodologie</w:t>
        </w:r>
      </w:hyperlink>
    </w:p>
    <w:p w14:paraId="4796F16B" w14:textId="77777777" w:rsidR="00C55D0D" w:rsidRDefault="00C55D0D" w:rsidP="00C55D0D">
      <w:pPr>
        <w:pStyle w:val="ListParagraph"/>
        <w:numPr>
          <w:ilvl w:val="0"/>
          <w:numId w:val="18"/>
        </w:numPr>
        <w:tabs>
          <w:tab w:val="left" w:pos="284"/>
        </w:tabs>
        <w:contextualSpacing/>
        <w:jc w:val="both"/>
      </w:pPr>
      <w:r w:rsidRPr="00413CD2">
        <w:t xml:space="preserve">***, </w:t>
      </w:r>
      <w:r>
        <w:t xml:space="preserve">Planurile de învățământ, disponibile la: </w:t>
      </w:r>
      <w:hyperlink r:id="rId9" w:history="1">
        <w:r w:rsidRPr="00981D57">
          <w:rPr>
            <w:rStyle w:val="Hyperlink"/>
          </w:rPr>
          <w:t>https://planinvatamant.ase.ro/</w:t>
        </w:r>
      </w:hyperlink>
      <w:r>
        <w:t xml:space="preserve"> ;</w:t>
      </w:r>
    </w:p>
    <w:p w14:paraId="04B873AF" w14:textId="77777777" w:rsidR="00C55D0D" w:rsidRDefault="00C55D0D" w:rsidP="00C55D0D">
      <w:pPr>
        <w:pStyle w:val="ListParagraph"/>
        <w:numPr>
          <w:ilvl w:val="0"/>
          <w:numId w:val="18"/>
        </w:numPr>
        <w:tabs>
          <w:tab w:val="left" w:pos="284"/>
        </w:tabs>
        <w:contextualSpacing/>
        <w:jc w:val="both"/>
      </w:pPr>
      <w:r w:rsidRPr="00413CD2">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333AC3F0" w14:textId="77777777" w:rsidR="00C55D0D" w:rsidRDefault="00C55D0D" w:rsidP="00C55D0D">
      <w:pPr>
        <w:pStyle w:val="ListParagraph"/>
        <w:numPr>
          <w:ilvl w:val="0"/>
          <w:numId w:val="18"/>
        </w:numPr>
        <w:tabs>
          <w:tab w:val="left" w:pos="284"/>
        </w:tabs>
        <w:contextualSpacing/>
        <w:jc w:val="both"/>
      </w:pPr>
      <w:r w:rsidRPr="00413CD2">
        <w:lastRenderedPageBreak/>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707B8CFA" w14:textId="77777777" w:rsidR="00C55D0D" w:rsidRPr="00413CD2" w:rsidRDefault="00C55D0D" w:rsidP="00C55D0D">
      <w:pPr>
        <w:pStyle w:val="ListParagraph"/>
        <w:numPr>
          <w:ilvl w:val="0"/>
          <w:numId w:val="18"/>
        </w:numPr>
        <w:tabs>
          <w:tab w:val="left" w:pos="284"/>
        </w:tabs>
        <w:contextualSpacing/>
        <w:jc w:val="both"/>
      </w:pPr>
      <w:r w:rsidRPr="00413CD2">
        <w:t xml:space="preserve">***, </w:t>
      </w:r>
      <w:r w:rsidRPr="00413CD2">
        <w:rPr>
          <w:color w:val="000000"/>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413CD2">
        <w:rPr>
          <w:color w:val="000000"/>
        </w:rPr>
        <w:t>ştiinţifică</w:t>
      </w:r>
      <w:proofErr w:type="spellEnd"/>
      <w:r w:rsidRPr="00413CD2">
        <w:rPr>
          <w:color w:val="000000"/>
        </w:rPr>
        <w:t xml:space="preserve"> </w:t>
      </w:r>
      <w:proofErr w:type="spellStart"/>
      <w:r w:rsidRPr="00413CD2">
        <w:rPr>
          <w:color w:val="000000"/>
        </w:rPr>
        <w:t>şi</w:t>
      </w:r>
      <w:proofErr w:type="spellEnd"/>
      <w:r w:rsidRPr="00413CD2">
        <w:rPr>
          <w:color w:val="000000"/>
        </w:rPr>
        <w:t xml:space="preserve"> dezvoltare tehnologică nr. 650/2014;</w:t>
      </w:r>
    </w:p>
    <w:p w14:paraId="4EDC34E7" w14:textId="77777777" w:rsidR="00C55D0D" w:rsidRPr="00413CD2" w:rsidRDefault="00C55D0D" w:rsidP="00C55D0D">
      <w:pPr>
        <w:pStyle w:val="ListParagraph"/>
        <w:numPr>
          <w:ilvl w:val="0"/>
          <w:numId w:val="18"/>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 xml:space="preserve">pentru aprobarea Metodologiei-cadru privind organizarea şi funcţionarea centrelor de consiliere şi orientare în carieră în sistemul de </w:t>
      </w:r>
      <w:proofErr w:type="spellStart"/>
      <w:r w:rsidRPr="00413CD2">
        <w:rPr>
          <w:bCs/>
        </w:rPr>
        <w:t>învaţământ</w:t>
      </w:r>
      <w:proofErr w:type="spellEnd"/>
      <w:r w:rsidRPr="00413CD2">
        <w:rPr>
          <w:bCs/>
        </w:rPr>
        <w:t xml:space="preserve"> superior din România;</w:t>
      </w:r>
    </w:p>
    <w:bookmarkEnd w:id="4"/>
    <w:p w14:paraId="2160958D" w14:textId="77777777" w:rsidR="00BC47F4" w:rsidRDefault="00BC47F4" w:rsidP="00BC47F4">
      <w:pPr>
        <w:pStyle w:val="ListParagraph"/>
        <w:numPr>
          <w:ilvl w:val="0"/>
          <w:numId w:val="18"/>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10" w:history="1">
        <w:r w:rsidRPr="00981D57">
          <w:rPr>
            <w:rStyle w:val="Hyperlink"/>
          </w:rPr>
          <w:t>https://doi.org/10</w:t>
        </w:r>
      </w:hyperlink>
      <w:r>
        <w:t>. 2766/62505NC-01-20-250-EN-N</w:t>
      </w:r>
    </w:p>
    <w:p w14:paraId="1156006B" w14:textId="77777777" w:rsidR="00BC47F4" w:rsidRDefault="00BC47F4" w:rsidP="00BC47F4">
      <w:pPr>
        <w:pStyle w:val="ListParagraph"/>
        <w:numPr>
          <w:ilvl w:val="0"/>
          <w:numId w:val="18"/>
        </w:numPr>
        <w:tabs>
          <w:tab w:val="left" w:pos="284"/>
        </w:tabs>
        <w:contextualSpacing/>
        <w:jc w:val="both"/>
      </w:pPr>
      <w:r>
        <w:t xml:space="preserve">Comisia Europeană, (2020), </w:t>
      </w:r>
      <w:r w:rsidRPr="00B306D1">
        <w:t>Agenda pentru competențe în Europa</w:t>
      </w:r>
      <w:r>
        <w:t xml:space="preserve">, disponibilă la: </w:t>
      </w:r>
      <w:hyperlink r:id="rId11" w:history="1">
        <w:r w:rsidRPr="00981D57">
          <w:rPr>
            <w:rStyle w:val="Hyperlink"/>
          </w:rPr>
          <w:t>https://ec.europa.eu/social/main.jsp?catId=1223&amp;langId=ro</w:t>
        </w:r>
      </w:hyperlink>
      <w:r>
        <w:t xml:space="preserve"> </w:t>
      </w:r>
    </w:p>
    <w:p w14:paraId="2B5AB335" w14:textId="77777777" w:rsidR="00BC47F4" w:rsidRDefault="00BC47F4" w:rsidP="00BC47F4">
      <w:pPr>
        <w:pStyle w:val="ListParagraph"/>
        <w:numPr>
          <w:ilvl w:val="0"/>
          <w:numId w:val="18"/>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2" w:history="1">
        <w:r w:rsidRPr="00981D57">
          <w:rPr>
            <w:rStyle w:val="Hyperlink"/>
          </w:rPr>
          <w:t>https://data.europa.eu/doi/10.2766/970793</w:t>
        </w:r>
      </w:hyperlink>
      <w:r>
        <w:t xml:space="preserve"> </w:t>
      </w:r>
    </w:p>
    <w:p w14:paraId="5199C3C8" w14:textId="77777777" w:rsidR="00BC47F4" w:rsidRDefault="00BC47F4" w:rsidP="00BC47F4">
      <w:pPr>
        <w:pStyle w:val="ListParagraph"/>
        <w:numPr>
          <w:ilvl w:val="0"/>
          <w:numId w:val="18"/>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3" w:history="1">
        <w:r w:rsidRPr="00981D57">
          <w:rPr>
            <w:rStyle w:val="Hyperlink"/>
          </w:rPr>
          <w:t>https://eur-lex.europa.eu/legal-content/RO/TXT/PDF/?uri=CELEX:52016DC0381&amp;from=EN</w:t>
        </w:r>
      </w:hyperlink>
      <w:r>
        <w:t xml:space="preserve"> </w:t>
      </w:r>
    </w:p>
    <w:p w14:paraId="12F8AD18" w14:textId="77777777" w:rsidR="00BC47F4" w:rsidRDefault="00BC47F4" w:rsidP="00BC47F4">
      <w:pPr>
        <w:pStyle w:val="ListParagraph"/>
        <w:numPr>
          <w:ilvl w:val="0"/>
          <w:numId w:val="18"/>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4" w:history="1">
        <w:r w:rsidRPr="00D15ED9">
          <w:rPr>
            <w:rStyle w:val="Hyperlink"/>
          </w:rPr>
          <w:t>https://link.springer.com/content/pdf/10.1007%2F978-3-030-94496-4.pdf</w:t>
        </w:r>
      </w:hyperlink>
      <w:r>
        <w:t xml:space="preserve"> </w:t>
      </w:r>
    </w:p>
    <w:p w14:paraId="69153899" w14:textId="77777777" w:rsidR="00BC47F4" w:rsidRPr="000A42EE" w:rsidRDefault="00BC47F4" w:rsidP="00BC47F4">
      <w:pPr>
        <w:pStyle w:val="ListParagraph"/>
        <w:numPr>
          <w:ilvl w:val="0"/>
          <w:numId w:val="18"/>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5" w:history="1">
        <w:r w:rsidRPr="00827EBE">
          <w:rPr>
            <w:rStyle w:val="Hyperlink"/>
          </w:rPr>
          <w:t>http://sapm.forhe.ro/wp-content/uploads/2016/02/Metodologia-SAPM.pdf</w:t>
        </w:r>
      </w:hyperlink>
    </w:p>
    <w:p w14:paraId="6E293F57" w14:textId="77777777" w:rsidR="00BC47F4" w:rsidRPr="00CE228F" w:rsidRDefault="00BC47F4" w:rsidP="00BC47F4">
      <w:pPr>
        <w:pStyle w:val="ListParagraph"/>
        <w:numPr>
          <w:ilvl w:val="0"/>
          <w:numId w:val="18"/>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3F6FCCD0" w14:textId="77777777" w:rsidR="00BC47F4" w:rsidRDefault="00BC47F4" w:rsidP="00BC47F4">
      <w:pPr>
        <w:pStyle w:val="ListParagraph"/>
        <w:numPr>
          <w:ilvl w:val="0"/>
          <w:numId w:val="18"/>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3F112A18" w14:textId="77777777" w:rsidR="00BC47F4" w:rsidRPr="006D6DF2" w:rsidRDefault="00BC47F4" w:rsidP="00BC47F4">
      <w:pPr>
        <w:pStyle w:val="ListParagraph"/>
        <w:numPr>
          <w:ilvl w:val="0"/>
          <w:numId w:val="18"/>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7"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1088AF17" w14:textId="77777777" w:rsidR="00BC47F4" w:rsidRDefault="00BC47F4" w:rsidP="00BC47F4">
      <w:pPr>
        <w:pStyle w:val="ListParagraph"/>
        <w:numPr>
          <w:ilvl w:val="0"/>
          <w:numId w:val="18"/>
        </w:numPr>
        <w:tabs>
          <w:tab w:val="left" w:pos="284"/>
        </w:tabs>
        <w:jc w:val="both"/>
      </w:pPr>
      <w:r w:rsidRPr="00DB7AA7">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8" w:history="1">
        <w:r w:rsidRPr="00D15ED9">
          <w:rPr>
            <w:rStyle w:val="Hyperlink"/>
          </w:rPr>
          <w:t>https://www.aracis.ro/wp-content/uploads/2019/08/Volum_Educatie_de_Calitate_pentru_Piata_Muncii_VF.pdf</w:t>
        </w:r>
      </w:hyperlink>
      <w:r>
        <w:t xml:space="preserve"> </w:t>
      </w:r>
    </w:p>
    <w:p w14:paraId="66B1CD0F" w14:textId="77777777" w:rsidR="00BC47F4" w:rsidRPr="00413CD2" w:rsidRDefault="00BC47F4" w:rsidP="00BC47F4">
      <w:pPr>
        <w:pStyle w:val="ListParagraph"/>
        <w:numPr>
          <w:ilvl w:val="0"/>
          <w:numId w:val="18"/>
        </w:numPr>
        <w:tabs>
          <w:tab w:val="left" w:pos="284"/>
        </w:tabs>
        <w:jc w:val="both"/>
      </w:pPr>
      <w:proofErr w:type="spellStart"/>
      <w:r>
        <w:lastRenderedPageBreak/>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9" w:history="1">
        <w:r w:rsidRPr="00981D57">
          <w:rPr>
            <w:rStyle w:val="Hyperlink"/>
          </w:rPr>
          <w:t>https://doi.org/10.1057/978-1-137-57168-7</w:t>
        </w:r>
      </w:hyperlink>
      <w:r>
        <w:t xml:space="preserve"> </w:t>
      </w:r>
    </w:p>
    <w:p w14:paraId="4E14B222" w14:textId="77777777" w:rsidR="00BC47F4" w:rsidRPr="00413CD2" w:rsidRDefault="00BC47F4" w:rsidP="00BC47F4">
      <w:pPr>
        <w:pStyle w:val="ListParagraph"/>
        <w:numPr>
          <w:ilvl w:val="0"/>
          <w:numId w:val="18"/>
        </w:numPr>
        <w:tabs>
          <w:tab w:val="left" w:pos="284"/>
        </w:tabs>
        <w:jc w:val="both"/>
      </w:pPr>
      <w:proofErr w:type="spellStart"/>
      <w:r w:rsidRPr="00413CD2">
        <w:rPr>
          <w:bCs/>
        </w:rPr>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0B029B98" w14:textId="77777777" w:rsidR="00BC47F4" w:rsidRPr="00413CD2" w:rsidRDefault="00BC47F4" w:rsidP="00BC47F4">
      <w:pPr>
        <w:pStyle w:val="ListParagraph"/>
        <w:numPr>
          <w:ilvl w:val="0"/>
          <w:numId w:val="18"/>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7E17D681" w14:textId="77777777" w:rsidR="00BC47F4" w:rsidRPr="00956209" w:rsidRDefault="00BC47F4" w:rsidP="00BC47F4">
      <w:pPr>
        <w:pStyle w:val="ListParagraph"/>
        <w:numPr>
          <w:ilvl w:val="0"/>
          <w:numId w:val="18"/>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738D0D38" w14:textId="77777777" w:rsidR="00BC47F4" w:rsidRPr="00413CD2" w:rsidRDefault="00BC47F4" w:rsidP="00BC47F4">
      <w:pPr>
        <w:pStyle w:val="ListParagraph"/>
        <w:numPr>
          <w:ilvl w:val="0"/>
          <w:numId w:val="18"/>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79C626D0" w14:textId="05410F04" w:rsidR="00C55D0D" w:rsidRPr="00413CD2" w:rsidRDefault="00BC47F4" w:rsidP="00BC47F4">
      <w:pPr>
        <w:pStyle w:val="ListParagraph"/>
        <w:numPr>
          <w:ilvl w:val="0"/>
          <w:numId w:val="18"/>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bookmarkEnd w:id="5"/>
    <w:p w14:paraId="65A1E677" w14:textId="5BDC145E" w:rsidR="005B08BF" w:rsidRDefault="005B08BF" w:rsidP="00C36D43">
      <w:pPr>
        <w:rPr>
          <w:bCs/>
          <w:lang w:val="ro-RO"/>
        </w:rPr>
      </w:pPr>
    </w:p>
    <w:p w14:paraId="25063111" w14:textId="77777777" w:rsidR="00F51AD4" w:rsidRPr="00C55D0D" w:rsidRDefault="00F51AD4" w:rsidP="00C36D43">
      <w:pPr>
        <w:rPr>
          <w:b/>
          <w:bCs/>
          <w:lang w:val="ro-RO"/>
        </w:rPr>
      </w:pPr>
    </w:p>
    <w:p w14:paraId="0F134EAE" w14:textId="4498EA1F" w:rsidR="005B08BF" w:rsidRPr="00413CD2" w:rsidRDefault="005B08BF" w:rsidP="00D44ABE">
      <w:pPr>
        <w:ind w:firstLine="360"/>
        <w:jc w:val="both"/>
        <w:rPr>
          <w:lang w:val="ro-RO"/>
        </w:rPr>
      </w:pPr>
      <w:r w:rsidRPr="00C55D0D">
        <w:rPr>
          <w:b/>
          <w:bCs/>
          <w:lang w:val="ro-RO"/>
        </w:rPr>
        <w:t>D.</w:t>
      </w:r>
      <w:r w:rsidR="00812E1D" w:rsidRPr="00C55D0D">
        <w:rPr>
          <w:b/>
          <w:bCs/>
          <w:lang w:val="ro-RO"/>
        </w:rPr>
        <w:t xml:space="preserve"> </w:t>
      </w:r>
      <w:r w:rsidRPr="00C55D0D">
        <w:rPr>
          <w:b/>
          <w:bCs/>
          <w:u w:val="single"/>
          <w:lang w:val="ro-RO"/>
        </w:rPr>
        <w:t>Componen</w:t>
      </w:r>
      <w:r w:rsidR="0035096F" w:rsidRPr="00C55D0D">
        <w:rPr>
          <w:b/>
          <w:bCs/>
          <w:u w:val="single"/>
          <w:lang w:val="ro-RO"/>
        </w:rPr>
        <w:t>ț</w:t>
      </w:r>
      <w:r w:rsidRPr="00C55D0D">
        <w:rPr>
          <w:b/>
          <w:bCs/>
          <w:u w:val="single"/>
          <w:lang w:val="ro-RO"/>
        </w:rPr>
        <w:t>a dosarului de concurs</w:t>
      </w:r>
      <w:r w:rsidRPr="00413CD2">
        <w:rPr>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lastRenderedPageBreak/>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4BC456C3" w14:textId="32CC413E" w:rsidR="005B08BF" w:rsidRDefault="005B08BF" w:rsidP="00C36D43">
      <w:pPr>
        <w:jc w:val="both"/>
        <w:rPr>
          <w:lang w:val="ro-RO" w:eastAsia="ro-RO"/>
        </w:rPr>
      </w:pPr>
    </w:p>
    <w:p w14:paraId="151DD4B5" w14:textId="59EB4F44" w:rsidR="00F51AD4" w:rsidRPr="00413CD2" w:rsidRDefault="00F51AD4" w:rsidP="00C36D43">
      <w:pPr>
        <w:jc w:val="both"/>
        <w:rPr>
          <w:lang w:val="ro-RO" w:eastAsia="ro-RO"/>
        </w:rPr>
      </w:pPr>
    </w:p>
    <w:p w14:paraId="464147D6" w14:textId="77777777" w:rsidR="00980B21" w:rsidRPr="00413CD2" w:rsidRDefault="00980B21" w:rsidP="00980B21">
      <w:pPr>
        <w:ind w:firstLine="720"/>
        <w:jc w:val="both"/>
        <w:rPr>
          <w:u w:val="single"/>
          <w:lang w:val="ro-RO"/>
        </w:rPr>
      </w:pPr>
      <w:r w:rsidRPr="00413CD2">
        <w:rPr>
          <w:b/>
          <w:lang w:val="ro-RO"/>
        </w:rPr>
        <w:t xml:space="preserve">E. </w:t>
      </w:r>
      <w:r w:rsidRPr="00C55D0D">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525503D9"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C55D0D">
        <w:rPr>
          <w:lang w:val="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6469ED76" w14:textId="4EC7BD94" w:rsidR="002923A9" w:rsidRDefault="002923A9" w:rsidP="00980B21">
      <w:pPr>
        <w:ind w:firstLine="720"/>
        <w:jc w:val="both"/>
        <w:rPr>
          <w:b/>
          <w:lang w:val="ro-RO"/>
        </w:rPr>
      </w:pPr>
    </w:p>
    <w:p w14:paraId="5FC0BE51" w14:textId="77777777" w:rsidR="002923A9" w:rsidRDefault="002923A9" w:rsidP="00980B21">
      <w:pPr>
        <w:ind w:firstLine="720"/>
        <w:jc w:val="both"/>
        <w:rPr>
          <w:b/>
          <w:lang w:val="ro-RO"/>
        </w:rPr>
      </w:pPr>
    </w:p>
    <w:p w14:paraId="043A56E0" w14:textId="4235CA68" w:rsidR="00980B21" w:rsidRPr="00413CD2" w:rsidRDefault="00980B21" w:rsidP="00980B21">
      <w:pPr>
        <w:ind w:firstLine="720"/>
        <w:jc w:val="both"/>
        <w:rPr>
          <w:lang w:val="ro-RO"/>
        </w:rPr>
      </w:pPr>
      <w:r w:rsidRPr="00413CD2">
        <w:rPr>
          <w:b/>
          <w:lang w:val="ro-RO"/>
        </w:rPr>
        <w:t xml:space="preserve">F. </w:t>
      </w:r>
      <w:r w:rsidRPr="00413CD2">
        <w:rPr>
          <w:u w:val="single"/>
          <w:lang w:val="ro-RO"/>
        </w:rPr>
        <w:t>Calendarul concursului</w:t>
      </w:r>
      <w:r w:rsidRPr="00413CD2">
        <w:rPr>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C55D0D" w:rsidRPr="00413CD2" w14:paraId="12C2F1B2" w14:textId="77777777" w:rsidTr="00490F8B">
        <w:trPr>
          <w:trHeight w:hRule="exact" w:val="391"/>
        </w:trPr>
        <w:tc>
          <w:tcPr>
            <w:tcW w:w="0" w:type="auto"/>
            <w:vAlign w:val="center"/>
          </w:tcPr>
          <w:p w14:paraId="30A46AB9"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C55D0D" w:rsidRPr="00413CD2" w:rsidRDefault="00C55D0D" w:rsidP="00C55D0D">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2A00E715" w:rsidR="00C55D0D" w:rsidRPr="00413CD2" w:rsidRDefault="00C55D0D" w:rsidP="00C55D0D">
            <w:pPr>
              <w:jc w:val="center"/>
              <w:rPr>
                <w:rFonts w:ascii="Times New Roman" w:hAnsi="Times New Roman"/>
                <w:lang w:val="ro-RO"/>
              </w:rPr>
            </w:pPr>
            <w:r w:rsidRPr="00D55F47">
              <w:rPr>
                <w:rFonts w:ascii="Times New Roman" w:hAnsi="Times New Roman"/>
                <w:lang w:val="ro-RO"/>
              </w:rPr>
              <w:t>19.04.2022</w:t>
            </w:r>
          </w:p>
        </w:tc>
      </w:tr>
      <w:tr w:rsidR="00C55D0D" w:rsidRPr="00413CD2" w14:paraId="3375D2C5" w14:textId="77777777" w:rsidTr="00591459">
        <w:trPr>
          <w:trHeight w:hRule="exact" w:val="910"/>
        </w:trPr>
        <w:tc>
          <w:tcPr>
            <w:tcW w:w="0" w:type="auto"/>
            <w:vAlign w:val="center"/>
          </w:tcPr>
          <w:p w14:paraId="5BBEEC77"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C55D0D" w:rsidRPr="00413CD2" w:rsidRDefault="00C55D0D" w:rsidP="00C55D0D">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494BC5D7" w:rsidR="00C55D0D" w:rsidRPr="00413CD2" w:rsidRDefault="00C55D0D" w:rsidP="00C55D0D">
            <w:pPr>
              <w:jc w:val="center"/>
              <w:rPr>
                <w:rFonts w:ascii="Times New Roman" w:hAnsi="Times New Roman"/>
                <w:lang w:val="ro-RO"/>
              </w:rPr>
            </w:pPr>
            <w:r w:rsidRPr="00D55F47">
              <w:rPr>
                <w:rFonts w:ascii="Times New Roman" w:hAnsi="Times New Roman"/>
                <w:lang w:val="ro-RO"/>
              </w:rPr>
              <w:t>19.04.2022 –28.04.2022, ora 16.00</w:t>
            </w:r>
          </w:p>
        </w:tc>
      </w:tr>
      <w:tr w:rsidR="00C55D0D" w:rsidRPr="00413CD2" w14:paraId="2B7433E3" w14:textId="77777777" w:rsidTr="00490F8B">
        <w:trPr>
          <w:trHeight w:hRule="exact" w:val="433"/>
        </w:trPr>
        <w:tc>
          <w:tcPr>
            <w:tcW w:w="0" w:type="auto"/>
            <w:vAlign w:val="center"/>
          </w:tcPr>
          <w:p w14:paraId="4A23952D"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C55D0D" w:rsidRPr="00413CD2" w:rsidRDefault="00C55D0D" w:rsidP="00C55D0D">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7AF1AF3B" w14:textId="77777777" w:rsidR="00C55D0D" w:rsidRPr="00D55F47" w:rsidRDefault="00C55D0D" w:rsidP="00C55D0D">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C55D0D" w:rsidRPr="00413CD2" w:rsidRDefault="00C55D0D" w:rsidP="00C55D0D">
            <w:pPr>
              <w:jc w:val="center"/>
              <w:rPr>
                <w:rFonts w:ascii="Times New Roman" w:hAnsi="Times New Roman"/>
                <w:lang w:val="ro-RO"/>
              </w:rPr>
            </w:pPr>
          </w:p>
        </w:tc>
      </w:tr>
      <w:tr w:rsidR="00C55D0D" w:rsidRPr="00413CD2" w14:paraId="28346A1B" w14:textId="77777777" w:rsidTr="00490F8B">
        <w:trPr>
          <w:trHeight w:hRule="exact" w:val="425"/>
        </w:trPr>
        <w:tc>
          <w:tcPr>
            <w:tcW w:w="0" w:type="auto"/>
            <w:vAlign w:val="center"/>
          </w:tcPr>
          <w:p w14:paraId="23F74F21"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C55D0D" w:rsidRPr="00413CD2" w:rsidRDefault="00C55D0D" w:rsidP="00C55D0D">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24DC5A61" w14:textId="77777777" w:rsidR="00C55D0D" w:rsidRPr="00D55F47" w:rsidRDefault="00C55D0D" w:rsidP="00C55D0D">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C55D0D" w:rsidRPr="00413CD2" w:rsidRDefault="00C55D0D" w:rsidP="00C55D0D">
            <w:pPr>
              <w:jc w:val="center"/>
              <w:rPr>
                <w:rFonts w:ascii="Times New Roman" w:hAnsi="Times New Roman"/>
                <w:lang w:val="ro-RO"/>
              </w:rPr>
            </w:pPr>
          </w:p>
        </w:tc>
      </w:tr>
      <w:tr w:rsidR="00C55D0D" w:rsidRPr="00413CD2" w14:paraId="00645D50" w14:textId="77777777" w:rsidTr="00490F8B">
        <w:trPr>
          <w:trHeight w:hRule="exact" w:val="431"/>
        </w:trPr>
        <w:tc>
          <w:tcPr>
            <w:tcW w:w="0" w:type="auto"/>
            <w:vAlign w:val="center"/>
          </w:tcPr>
          <w:p w14:paraId="7DD76027"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C55D0D" w:rsidRPr="00413CD2" w:rsidRDefault="00C55D0D" w:rsidP="00C55D0D">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3483FD1A" w14:textId="77777777" w:rsidR="00C55D0D" w:rsidRPr="00D55F47" w:rsidRDefault="00C55D0D" w:rsidP="00C55D0D">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C55D0D" w:rsidRPr="00413CD2" w:rsidRDefault="00C55D0D" w:rsidP="00C55D0D">
            <w:pPr>
              <w:jc w:val="center"/>
              <w:rPr>
                <w:rFonts w:ascii="Times New Roman" w:hAnsi="Times New Roman"/>
                <w:lang w:val="ro-RO"/>
              </w:rPr>
            </w:pPr>
          </w:p>
        </w:tc>
      </w:tr>
      <w:tr w:rsidR="00C55D0D" w:rsidRPr="00413CD2" w14:paraId="4F6CC8B2" w14:textId="77777777" w:rsidTr="00490F8B">
        <w:trPr>
          <w:trHeight w:hRule="exact" w:val="423"/>
        </w:trPr>
        <w:tc>
          <w:tcPr>
            <w:tcW w:w="0" w:type="auto"/>
            <w:vAlign w:val="center"/>
          </w:tcPr>
          <w:p w14:paraId="255C6A1B"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C55D0D" w:rsidRPr="00413CD2" w:rsidRDefault="00C55D0D" w:rsidP="00C55D0D">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5B008090" w:rsidR="00C55D0D" w:rsidRPr="00413CD2" w:rsidRDefault="00C55D0D" w:rsidP="00C55D0D">
            <w:pPr>
              <w:jc w:val="center"/>
              <w:rPr>
                <w:rFonts w:ascii="Times New Roman" w:hAnsi="Times New Roman"/>
                <w:lang w:val="ro-RO"/>
              </w:rPr>
            </w:pPr>
            <w:r w:rsidRPr="00D55F47">
              <w:rPr>
                <w:rFonts w:ascii="Times New Roman" w:hAnsi="Times New Roman"/>
                <w:lang w:val="ro-RO"/>
              </w:rPr>
              <w:t>02.05.2022</w:t>
            </w:r>
          </w:p>
        </w:tc>
      </w:tr>
      <w:tr w:rsidR="00C55D0D" w:rsidRPr="00413CD2" w14:paraId="391CC39B" w14:textId="77777777" w:rsidTr="00490F8B">
        <w:trPr>
          <w:trHeight w:hRule="exact" w:val="429"/>
        </w:trPr>
        <w:tc>
          <w:tcPr>
            <w:tcW w:w="0" w:type="auto"/>
            <w:vAlign w:val="center"/>
          </w:tcPr>
          <w:p w14:paraId="1B5C2B5C"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C55D0D" w:rsidRPr="00413CD2" w:rsidRDefault="00C55D0D" w:rsidP="00C55D0D">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681759F2" w:rsidR="00C55D0D" w:rsidRPr="00413CD2" w:rsidRDefault="00C55D0D" w:rsidP="00C55D0D">
            <w:pPr>
              <w:jc w:val="center"/>
              <w:rPr>
                <w:rFonts w:ascii="Times New Roman" w:hAnsi="Times New Roman"/>
                <w:lang w:val="ro-RO"/>
              </w:rPr>
            </w:pPr>
            <w:r w:rsidRPr="00D55F47">
              <w:rPr>
                <w:rFonts w:ascii="Times New Roman" w:hAnsi="Times New Roman"/>
                <w:lang w:val="ro-RO"/>
              </w:rPr>
              <w:t>03.05.2022</w:t>
            </w:r>
          </w:p>
        </w:tc>
      </w:tr>
      <w:tr w:rsidR="00C55D0D" w:rsidRPr="00413CD2" w14:paraId="2A600EA0" w14:textId="77777777" w:rsidTr="00490F8B">
        <w:trPr>
          <w:trHeight w:hRule="exact" w:val="421"/>
        </w:trPr>
        <w:tc>
          <w:tcPr>
            <w:tcW w:w="0" w:type="auto"/>
            <w:vAlign w:val="center"/>
          </w:tcPr>
          <w:p w14:paraId="1F88D7AB"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C55D0D" w:rsidRPr="00413CD2" w:rsidRDefault="00C55D0D" w:rsidP="00C55D0D">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274D25C6" w:rsidR="00C55D0D" w:rsidRPr="00413CD2" w:rsidRDefault="00C55D0D" w:rsidP="00C55D0D">
            <w:pPr>
              <w:jc w:val="center"/>
              <w:rPr>
                <w:rFonts w:ascii="Times New Roman" w:hAnsi="Times New Roman"/>
                <w:lang w:val="ro-RO"/>
              </w:rPr>
            </w:pPr>
            <w:r w:rsidRPr="00D55F47">
              <w:rPr>
                <w:rFonts w:ascii="Times New Roman" w:hAnsi="Times New Roman"/>
                <w:lang w:val="ro-RO"/>
              </w:rPr>
              <w:t>03.05.2022</w:t>
            </w:r>
          </w:p>
        </w:tc>
      </w:tr>
      <w:tr w:rsidR="00C55D0D" w:rsidRPr="00413CD2" w14:paraId="1DD09185" w14:textId="77777777" w:rsidTr="00490F8B">
        <w:trPr>
          <w:trHeight w:hRule="exact" w:val="427"/>
        </w:trPr>
        <w:tc>
          <w:tcPr>
            <w:tcW w:w="0" w:type="auto"/>
            <w:vAlign w:val="center"/>
          </w:tcPr>
          <w:p w14:paraId="421DD6C8"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C55D0D" w:rsidRPr="00413CD2" w:rsidRDefault="00C55D0D" w:rsidP="00C55D0D">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32B9A6B3" w:rsidR="00C55D0D" w:rsidRPr="00413CD2" w:rsidRDefault="00C55D0D" w:rsidP="00C55D0D">
            <w:pPr>
              <w:jc w:val="center"/>
              <w:rPr>
                <w:rFonts w:ascii="Times New Roman" w:hAnsi="Times New Roman"/>
                <w:lang w:val="ro-RO"/>
              </w:rPr>
            </w:pPr>
            <w:r w:rsidRPr="00D55F47">
              <w:rPr>
                <w:rFonts w:ascii="Times New Roman" w:hAnsi="Times New Roman"/>
                <w:lang w:val="ro-RO"/>
              </w:rPr>
              <w:t>04.05.2022</w:t>
            </w:r>
          </w:p>
        </w:tc>
      </w:tr>
      <w:tr w:rsidR="00C55D0D" w:rsidRPr="00413CD2" w14:paraId="7C6AAB5A" w14:textId="77777777" w:rsidTr="00490F8B">
        <w:trPr>
          <w:trHeight w:hRule="exact" w:val="419"/>
        </w:trPr>
        <w:tc>
          <w:tcPr>
            <w:tcW w:w="0" w:type="auto"/>
            <w:vAlign w:val="center"/>
          </w:tcPr>
          <w:p w14:paraId="656B53E3"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C55D0D" w:rsidRPr="00413CD2" w:rsidRDefault="00C55D0D" w:rsidP="00C55D0D">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1682AA14" w:rsidR="00C55D0D" w:rsidRPr="00413CD2" w:rsidRDefault="00C55D0D" w:rsidP="00C55D0D">
            <w:pPr>
              <w:jc w:val="center"/>
              <w:rPr>
                <w:rFonts w:ascii="Times New Roman" w:hAnsi="Times New Roman"/>
                <w:lang w:val="ro-RO"/>
              </w:rPr>
            </w:pPr>
            <w:r w:rsidRPr="00D55F47">
              <w:rPr>
                <w:rFonts w:ascii="Times New Roman" w:hAnsi="Times New Roman"/>
                <w:lang w:val="ro-RO"/>
              </w:rPr>
              <w:t>04.05.2022</w:t>
            </w:r>
          </w:p>
        </w:tc>
      </w:tr>
      <w:tr w:rsidR="00C55D0D" w:rsidRPr="00413CD2" w14:paraId="0FFEA1B9" w14:textId="77777777" w:rsidTr="00490F8B">
        <w:trPr>
          <w:trHeight w:hRule="exact" w:val="454"/>
        </w:trPr>
        <w:tc>
          <w:tcPr>
            <w:tcW w:w="0" w:type="auto"/>
            <w:vAlign w:val="center"/>
          </w:tcPr>
          <w:p w14:paraId="233C8486"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C55D0D" w:rsidRPr="00413CD2" w:rsidRDefault="00C55D0D" w:rsidP="00C55D0D">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3E87CD04" w:rsidR="00C55D0D" w:rsidRPr="00413CD2" w:rsidRDefault="00C55D0D" w:rsidP="00C55D0D">
            <w:pPr>
              <w:jc w:val="center"/>
              <w:rPr>
                <w:rFonts w:ascii="Times New Roman" w:hAnsi="Times New Roman"/>
                <w:lang w:val="ro-RO"/>
              </w:rPr>
            </w:pPr>
            <w:r w:rsidRPr="00D55F47">
              <w:rPr>
                <w:rFonts w:ascii="Times New Roman" w:hAnsi="Times New Roman"/>
                <w:lang w:val="ro-RO"/>
              </w:rPr>
              <w:t>04.05.2022</w:t>
            </w:r>
          </w:p>
        </w:tc>
      </w:tr>
      <w:tr w:rsidR="00C55D0D" w:rsidRPr="00413CD2" w14:paraId="3AFEF16B" w14:textId="77777777" w:rsidTr="00BB12E1">
        <w:trPr>
          <w:trHeight w:hRule="exact" w:val="850"/>
        </w:trPr>
        <w:tc>
          <w:tcPr>
            <w:tcW w:w="0" w:type="auto"/>
            <w:vAlign w:val="center"/>
          </w:tcPr>
          <w:p w14:paraId="368EF48C" w14:textId="77777777" w:rsidR="00C55D0D" w:rsidRPr="00413CD2" w:rsidRDefault="00C55D0D" w:rsidP="00C55D0D">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C55D0D" w:rsidRPr="00413CD2" w:rsidRDefault="00C55D0D" w:rsidP="00C55D0D">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39AD05F3" w:rsidR="00C55D0D" w:rsidRPr="00413CD2" w:rsidRDefault="00C55D0D" w:rsidP="00C55D0D">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26A5950D" w:rsidR="00980B21" w:rsidRPr="00413CD2" w:rsidRDefault="00980B21" w:rsidP="00980B21">
      <w:pPr>
        <w:spacing w:after="120"/>
        <w:jc w:val="both"/>
        <w:rPr>
          <w:lang w:val="ro-RO"/>
        </w:rPr>
      </w:pPr>
      <w:r w:rsidRPr="00413CD2">
        <w:rPr>
          <w:lang w:val="ro-RO"/>
        </w:rPr>
        <w:t xml:space="preserve">Data: </w:t>
      </w:r>
      <w:r w:rsidR="00A321BC">
        <w:rPr>
          <w:lang w:val="ro-RO"/>
        </w:rPr>
        <w:t>1</w:t>
      </w:r>
      <w:r w:rsidR="00C55D0D">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50274B9C" w14:textId="31A31D7A" w:rsidR="00980B21" w:rsidRPr="00413CD2" w:rsidRDefault="00A321BC" w:rsidP="00980B21">
      <w:pPr>
        <w:spacing w:after="120"/>
        <w:jc w:val="both"/>
        <w:rPr>
          <w:lang w:val="ro-RO"/>
        </w:rPr>
      </w:pPr>
      <w:r>
        <w:rPr>
          <w:lang w:val="ro-RO"/>
        </w:rPr>
        <w:t xml:space="preserve">Lect. univ. dr. Ioan-Radu PETRARIU </w:t>
      </w:r>
    </w:p>
    <w:p w14:paraId="0E8C8C2C" w14:textId="77777777" w:rsidR="00980B21" w:rsidRPr="00413CD2" w:rsidRDefault="00980B21" w:rsidP="00980B21">
      <w:pPr>
        <w:ind w:firstLine="426"/>
        <w:jc w:val="both"/>
        <w:rPr>
          <w:lang w:val="ro-RO"/>
        </w:rPr>
      </w:pPr>
    </w:p>
    <w:p w14:paraId="40EA280F" w14:textId="77777777" w:rsidR="00E71FFB" w:rsidRPr="00413CD2" w:rsidRDefault="00E71FFB" w:rsidP="00980B21">
      <w:pPr>
        <w:ind w:firstLine="720"/>
        <w:jc w:val="both"/>
        <w:rPr>
          <w:lang w:val="ro-RO"/>
        </w:rPr>
      </w:pPr>
    </w:p>
    <w:sectPr w:rsidR="00E71FFB" w:rsidRPr="00413CD2"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2C2E" w14:textId="77777777" w:rsidR="00B1534F" w:rsidRDefault="00B1534F">
      <w:r>
        <w:separator/>
      </w:r>
    </w:p>
  </w:endnote>
  <w:endnote w:type="continuationSeparator" w:id="0">
    <w:p w14:paraId="2E2DA4EA" w14:textId="77777777" w:rsidR="00B1534F" w:rsidRDefault="00B1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644E" w14:textId="77777777" w:rsidR="00B1534F" w:rsidRDefault="00B1534F">
      <w:r>
        <w:separator/>
      </w:r>
    </w:p>
  </w:footnote>
  <w:footnote w:type="continuationSeparator" w:id="0">
    <w:p w14:paraId="6FA57223" w14:textId="77777777" w:rsidR="00B1534F" w:rsidRDefault="00B1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A37"/>
    <w:multiLevelType w:val="hybridMultilevel"/>
    <w:tmpl w:val="84A29F04"/>
    <w:lvl w:ilvl="0" w:tplc="C734CF2C">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3"/>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7"/>
  </w:num>
  <w:num w:numId="8">
    <w:abstractNumId w:val="10"/>
  </w:num>
  <w:num w:numId="9">
    <w:abstractNumId w:val="2"/>
  </w:num>
  <w:num w:numId="10">
    <w:abstractNumId w:val="16"/>
  </w:num>
  <w:num w:numId="11">
    <w:abstractNumId w:val="4"/>
  </w:num>
  <w:num w:numId="12">
    <w:abstractNumId w:val="9"/>
  </w:num>
  <w:num w:numId="13">
    <w:abstractNumId w:val="15"/>
  </w:num>
  <w:num w:numId="14">
    <w:abstractNumId w:val="14"/>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A22A1"/>
    <w:rsid w:val="000C2E27"/>
    <w:rsid w:val="000D78BB"/>
    <w:rsid w:val="000E3DC3"/>
    <w:rsid w:val="000F69D1"/>
    <w:rsid w:val="00112004"/>
    <w:rsid w:val="00112323"/>
    <w:rsid w:val="0014326D"/>
    <w:rsid w:val="00153062"/>
    <w:rsid w:val="001625D3"/>
    <w:rsid w:val="001652BF"/>
    <w:rsid w:val="00171F13"/>
    <w:rsid w:val="00194DB3"/>
    <w:rsid w:val="001B7E84"/>
    <w:rsid w:val="001C0B5F"/>
    <w:rsid w:val="002159E2"/>
    <w:rsid w:val="0022001B"/>
    <w:rsid w:val="0022200C"/>
    <w:rsid w:val="00223DF1"/>
    <w:rsid w:val="00230E35"/>
    <w:rsid w:val="00232D53"/>
    <w:rsid w:val="002375E0"/>
    <w:rsid w:val="002408A6"/>
    <w:rsid w:val="00240B16"/>
    <w:rsid w:val="002473E0"/>
    <w:rsid w:val="00263835"/>
    <w:rsid w:val="002923A9"/>
    <w:rsid w:val="002A3710"/>
    <w:rsid w:val="002D077C"/>
    <w:rsid w:val="00300820"/>
    <w:rsid w:val="003053D8"/>
    <w:rsid w:val="003147A3"/>
    <w:rsid w:val="0032316E"/>
    <w:rsid w:val="00335B6D"/>
    <w:rsid w:val="0035096F"/>
    <w:rsid w:val="003836D3"/>
    <w:rsid w:val="003870AC"/>
    <w:rsid w:val="003A2636"/>
    <w:rsid w:val="003A2C17"/>
    <w:rsid w:val="003A390C"/>
    <w:rsid w:val="003B1D0B"/>
    <w:rsid w:val="003B3ED4"/>
    <w:rsid w:val="003E7CD1"/>
    <w:rsid w:val="003F62A3"/>
    <w:rsid w:val="003F65FA"/>
    <w:rsid w:val="003F7529"/>
    <w:rsid w:val="00413CD2"/>
    <w:rsid w:val="004312B8"/>
    <w:rsid w:val="00434904"/>
    <w:rsid w:val="00436175"/>
    <w:rsid w:val="00442624"/>
    <w:rsid w:val="00442B08"/>
    <w:rsid w:val="00445DDE"/>
    <w:rsid w:val="00460DA1"/>
    <w:rsid w:val="00463FAD"/>
    <w:rsid w:val="00465BE8"/>
    <w:rsid w:val="00470DE5"/>
    <w:rsid w:val="00472CF8"/>
    <w:rsid w:val="0047553F"/>
    <w:rsid w:val="00485B88"/>
    <w:rsid w:val="00496822"/>
    <w:rsid w:val="004A6A4D"/>
    <w:rsid w:val="004B39D1"/>
    <w:rsid w:val="004B5B5E"/>
    <w:rsid w:val="004C1A15"/>
    <w:rsid w:val="004C4CA6"/>
    <w:rsid w:val="004C5841"/>
    <w:rsid w:val="004D4957"/>
    <w:rsid w:val="004D7705"/>
    <w:rsid w:val="004F08F0"/>
    <w:rsid w:val="004F3DA3"/>
    <w:rsid w:val="00500128"/>
    <w:rsid w:val="00520F7F"/>
    <w:rsid w:val="00522664"/>
    <w:rsid w:val="00530DCD"/>
    <w:rsid w:val="0053321B"/>
    <w:rsid w:val="00591459"/>
    <w:rsid w:val="005920FF"/>
    <w:rsid w:val="00595366"/>
    <w:rsid w:val="005B08BF"/>
    <w:rsid w:val="005C4FC2"/>
    <w:rsid w:val="005D3CD1"/>
    <w:rsid w:val="006025A7"/>
    <w:rsid w:val="0062443A"/>
    <w:rsid w:val="00625F5F"/>
    <w:rsid w:val="006339EC"/>
    <w:rsid w:val="00635F93"/>
    <w:rsid w:val="00653720"/>
    <w:rsid w:val="00661030"/>
    <w:rsid w:val="006669D8"/>
    <w:rsid w:val="006672B3"/>
    <w:rsid w:val="0068270C"/>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9669E"/>
    <w:rsid w:val="007B356C"/>
    <w:rsid w:val="007D2515"/>
    <w:rsid w:val="007D5B17"/>
    <w:rsid w:val="007D5E30"/>
    <w:rsid w:val="007E0CC3"/>
    <w:rsid w:val="007E6037"/>
    <w:rsid w:val="007F0F64"/>
    <w:rsid w:val="007F4715"/>
    <w:rsid w:val="007F4E68"/>
    <w:rsid w:val="007F5CE7"/>
    <w:rsid w:val="00812E1D"/>
    <w:rsid w:val="00821220"/>
    <w:rsid w:val="008325D3"/>
    <w:rsid w:val="00842A03"/>
    <w:rsid w:val="008701F4"/>
    <w:rsid w:val="00873B64"/>
    <w:rsid w:val="00880DCF"/>
    <w:rsid w:val="00883789"/>
    <w:rsid w:val="008A0F28"/>
    <w:rsid w:val="008A2A3B"/>
    <w:rsid w:val="008B0204"/>
    <w:rsid w:val="008B6C05"/>
    <w:rsid w:val="008D2A19"/>
    <w:rsid w:val="008D7F82"/>
    <w:rsid w:val="008E66C2"/>
    <w:rsid w:val="0090125F"/>
    <w:rsid w:val="009135A0"/>
    <w:rsid w:val="00931B66"/>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6C97"/>
    <w:rsid w:val="00A8501D"/>
    <w:rsid w:val="00A9393D"/>
    <w:rsid w:val="00A97592"/>
    <w:rsid w:val="00AA3183"/>
    <w:rsid w:val="00AB4A31"/>
    <w:rsid w:val="00AB512D"/>
    <w:rsid w:val="00AB7100"/>
    <w:rsid w:val="00AC01C9"/>
    <w:rsid w:val="00AE3F20"/>
    <w:rsid w:val="00B11256"/>
    <w:rsid w:val="00B1534F"/>
    <w:rsid w:val="00B17C47"/>
    <w:rsid w:val="00B41D15"/>
    <w:rsid w:val="00B4483F"/>
    <w:rsid w:val="00B514B0"/>
    <w:rsid w:val="00B7731B"/>
    <w:rsid w:val="00B8146C"/>
    <w:rsid w:val="00B827C7"/>
    <w:rsid w:val="00B85874"/>
    <w:rsid w:val="00B934A6"/>
    <w:rsid w:val="00B968F7"/>
    <w:rsid w:val="00B979D0"/>
    <w:rsid w:val="00BA5956"/>
    <w:rsid w:val="00BB12E1"/>
    <w:rsid w:val="00BB2CE7"/>
    <w:rsid w:val="00BB363F"/>
    <w:rsid w:val="00BB49DE"/>
    <w:rsid w:val="00BB6839"/>
    <w:rsid w:val="00BB758D"/>
    <w:rsid w:val="00BC43F0"/>
    <w:rsid w:val="00BC47F4"/>
    <w:rsid w:val="00BD12D5"/>
    <w:rsid w:val="00BD578A"/>
    <w:rsid w:val="00C15213"/>
    <w:rsid w:val="00C17084"/>
    <w:rsid w:val="00C35236"/>
    <w:rsid w:val="00C36D43"/>
    <w:rsid w:val="00C43278"/>
    <w:rsid w:val="00C45029"/>
    <w:rsid w:val="00C452FA"/>
    <w:rsid w:val="00C533E7"/>
    <w:rsid w:val="00C55D0D"/>
    <w:rsid w:val="00C70BCF"/>
    <w:rsid w:val="00C74299"/>
    <w:rsid w:val="00C8236E"/>
    <w:rsid w:val="00C96785"/>
    <w:rsid w:val="00CC404E"/>
    <w:rsid w:val="00D15544"/>
    <w:rsid w:val="00D23490"/>
    <w:rsid w:val="00D327E4"/>
    <w:rsid w:val="00D42650"/>
    <w:rsid w:val="00D44ABE"/>
    <w:rsid w:val="00D45C62"/>
    <w:rsid w:val="00D52457"/>
    <w:rsid w:val="00D543E7"/>
    <w:rsid w:val="00D75783"/>
    <w:rsid w:val="00D870EF"/>
    <w:rsid w:val="00D96FD3"/>
    <w:rsid w:val="00DA2FE9"/>
    <w:rsid w:val="00DA7AE2"/>
    <w:rsid w:val="00DB743B"/>
    <w:rsid w:val="00DB7AA7"/>
    <w:rsid w:val="00DC0CCA"/>
    <w:rsid w:val="00DC23BC"/>
    <w:rsid w:val="00DE5FB5"/>
    <w:rsid w:val="00E1348A"/>
    <w:rsid w:val="00E17095"/>
    <w:rsid w:val="00E17233"/>
    <w:rsid w:val="00E56F5F"/>
    <w:rsid w:val="00E71FFB"/>
    <w:rsid w:val="00E81B4E"/>
    <w:rsid w:val="00E82B1A"/>
    <w:rsid w:val="00E86A1E"/>
    <w:rsid w:val="00EA5F8A"/>
    <w:rsid w:val="00EB42BF"/>
    <w:rsid w:val="00EC0889"/>
    <w:rsid w:val="00EC511F"/>
    <w:rsid w:val="00EF149E"/>
    <w:rsid w:val="00EF3521"/>
    <w:rsid w:val="00F26CAE"/>
    <w:rsid w:val="00F35D05"/>
    <w:rsid w:val="00F4334B"/>
    <w:rsid w:val="00F51AD4"/>
    <w:rsid w:val="00F52A2B"/>
    <w:rsid w:val="00F761AB"/>
    <w:rsid w:val="00F76674"/>
    <w:rsid w:val="00F96634"/>
    <w:rsid w:val="00FA0060"/>
    <w:rsid w:val="00FA0D00"/>
    <w:rsid w:val="00FB205D"/>
    <w:rsid w:val="00FC0256"/>
    <w:rsid w:val="00FC430D"/>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s://eur-lex.europa.eu/legal-content/RO/TXT/PDF/?uri=CELEX:52016DC0381&amp;from=EN" TargetMode="External"/><Relationship Id="rId18" Type="http://schemas.openxmlformats.org/officeDocument/2006/relationships/hyperlink" Target="https://www.aracis.ro/wp-content/uploads/2019/08/Volum_Educatie_de_Calitate_pentru_Piata_Muncii_V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ta.europa.eu/doi/10.2766/970793" TargetMode="External"/><Relationship Id="rId17" Type="http://schemas.openxmlformats.org/officeDocument/2006/relationships/hyperlink" Target="https://www.researchgate.net/publication/266266196_Preparing_students_for_the_graduate_labour_market_from_'unfreezing'_to_'action" TargetMode="External"/><Relationship Id="rId2" Type="http://schemas.openxmlformats.org/officeDocument/2006/relationships/numbering" Target="numbering.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1223&amp;langId=ro" TargetMode="External"/><Relationship Id="rId5" Type="http://schemas.openxmlformats.org/officeDocument/2006/relationships/webSettings" Target="webSettings.xml"/><Relationship Id="rId15" Type="http://schemas.openxmlformats.org/officeDocument/2006/relationships/hyperlink" Target="http://sapm.forhe.ro/wp-content/uploads/2016/02/Metodologia-SAPM.pdf" TargetMode="External"/><Relationship Id="rId23" Type="http://schemas.openxmlformats.org/officeDocument/2006/relationships/theme" Target="theme/theme1.xml"/><Relationship Id="rId10" Type="http://schemas.openxmlformats.org/officeDocument/2006/relationships/hyperlink" Target="https://doi.org/10" TargetMode="External"/><Relationship Id="rId19" Type="http://schemas.openxmlformats.org/officeDocument/2006/relationships/hyperlink" Target="https://doi.org/10.1057/978-1-137-57168-7" TargetMode="External"/><Relationship Id="rId4" Type="http://schemas.openxmlformats.org/officeDocument/2006/relationships/settings" Target="settings.xml"/><Relationship Id="rId9" Type="http://schemas.openxmlformats.org/officeDocument/2006/relationships/hyperlink" Target="https://planinvatamant.ase.ro/" TargetMode="External"/><Relationship Id="rId14" Type="http://schemas.openxmlformats.org/officeDocument/2006/relationships/hyperlink" Target="https://link.springer.com/content/pdf/10.1007%2F978-3-030-9449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8EFBF6-B87A-4CCF-A219-0D6D7709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2520</Words>
  <Characters>14619</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17105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58</cp:revision>
  <cp:lastPrinted>2017-05-16T12:04:00Z</cp:lastPrinted>
  <dcterms:created xsi:type="dcterms:W3CDTF">2022-04-13T17:11:00Z</dcterms:created>
  <dcterms:modified xsi:type="dcterms:W3CDTF">2022-04-19T12:29:00Z</dcterms:modified>
</cp:coreProperties>
</file>